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kmD2MKode"/>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fldChar w:fldCharType="begin"/>
      </w:r>
      <w:r w:rsidRPr="0040474E">
        <w:rPr>
          <w:noProof/>
          <w:color w:val="FFFFFF" w:themeColor="background1"/>
          <w:sz w:val="2"/>
          <w:szCs w:val="2"/>
        </w:rPr>
        <w:instrText xml:space="preserve"> PRINT  %%d2m*DOKSTART </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|d2m*CPR:</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|d2m*CVR:</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|d2m*ATTPNUMMER:</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|d2m*OVERSKRIFT:"Udkast til besvarelse af henvendelse fra Ankestyrelsen"</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|d2m*DESTINATION:EBOKSKMDPRINT</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|d2m*RESPONSETYPE:3</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|d2m*RESPONSEADDRESS:4638</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|d2m*RESPONSESUBJECT:13735</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|d2m*ACCEPT:1</w:instrText>
      </w:r>
    </w:p>
    <w:p w:rsidR="00985870" w:rsidRPr="0040474E" w:rsidRDefault="00985870" w:rsidP="00AA3B45">
      <w:pPr>
        <w:spacing w:line="300" w:lineRule="atLeast"/>
        <w:rPr>
          <w:noProof/>
          <w:color w:val="FFFFFF" w:themeColor="background1"/>
          <w:sz w:val="2"/>
          <w:szCs w:val="2"/>
        </w:rPr>
      </w:pPr>
      <w:r w:rsidRPr="0040474E">
        <w:rPr>
          <w:noProof/>
          <w:color w:val="FFFFFF" w:themeColor="background1"/>
          <w:sz w:val="2"/>
          <w:szCs w:val="2"/>
        </w:rPr>
        <w:instrText>|d2m*ADDRETURNADDRESS:True</w:instrText>
      </w:r>
    </w:p>
    <w:p w:rsidR="00985870" w:rsidRPr="0040474E" w:rsidRDefault="00985870" w:rsidP="00AA3B45">
      <w:pPr>
        <w:spacing w:line="259" w:lineRule="auto"/>
        <w:rPr>
          <w:color w:val="FFFFFF" w:themeColor="background1"/>
          <w:sz w:val="2"/>
          <w:szCs w:val="2"/>
        </w:rPr>
      </w:pPr>
      <w:r w:rsidRPr="0040474E">
        <w:rPr>
          <w:color w:val="FFFFFF" w:themeColor="background1"/>
          <w:sz w:val="2"/>
          <w:szCs w:val="2"/>
        </w:rPr>
        <w:instrText>\hich</w:instrText>
      </w:r>
      <w:r w:rsidRPr="0040474E">
        <w:rPr>
          <w:snapToGrid w:val="0"/>
          <w:color w:val="FFFFFF" w:themeColor="background1"/>
          <w:sz w:val="2"/>
          <w:szCs w:val="2"/>
        </w:rPr>
        <w:instrText xml:space="preserve">* MERGEFORMAT </w:instrText>
      </w:r>
      <w:r w:rsidRPr="0040474E">
        <w:rPr>
          <w:noProof/>
          <w:color w:val="FFFFFF" w:themeColor="background1"/>
          <w:sz w:val="2"/>
          <w:szCs w:val="2"/>
        </w:rPr>
        <w:fldChar w:fldCharType="end"/>
      </w:r>
      <w:bookmarkEnd w:id="0"/>
    </w:p>
    <w:p w:rsidR="00985870" w:rsidRPr="00092873" w:rsidRDefault="00985870" w:rsidP="00572DE7">
      <w:pPr>
        <w:spacing w:line="300" w:lineRule="exact"/>
        <w:rPr>
          <w:color w:val="FFFFFF" w:themeColor="background1"/>
        </w:rPr>
      </w:pPr>
    </w:p>
    <w:p w:rsidR="00985870" w:rsidRDefault="00985870" w:rsidP="00572DE7">
      <w:pPr>
        <w:spacing w:line="300" w:lineRule="exact"/>
      </w:pPr>
    </w:p>
    <w:p w:rsidR="00985870" w:rsidRDefault="00985870" w:rsidP="00572DE7"/>
    <w:p w:rsidR="00985870" w:rsidRDefault="00985870" w:rsidP="00572DE7">
      <w:pPr>
        <w:spacing w:line="300" w:lineRule="exact"/>
      </w:pPr>
      <w:r>
        <w:t>0</w:t>
      </w:r>
    </w:p>
    <w:p w:rsidR="00985870" w:rsidRDefault="003405A9" w:rsidP="00572DE7">
      <w:r>
        <w:rPr>
          <w:noProof/>
        </w:rPr>
        <w:pict>
          <v:shapetype id="_x0000_t202" coordsize="21600,21600" o:spt="202" path="m,l,21600r21600,l21600,xe">
            <v:stroke joinstyle="miter"/>
            <v:path gradientshapeok="t" o:connecttype="rect"/>
          </v:shapetype>
          <v:shape id="_x0000_s1026" type="#_x0000_t202" style="position:absolute;margin-left:448.9pt;margin-top:231.35pt;width:128.25pt;height:528.7pt;z-index:251659264;mso-position-horizontal-relative:page;mso-position-vertical-relative:page" stroked="f">
            <v:textbox style="mso-next-textbox:#_x0000_s1026">
              <w:txbxContent>
                <w:p w:rsidR="00985870" w:rsidRDefault="00985870" w:rsidP="00572DE7"/>
                <w:p w:rsidR="00985870" w:rsidRDefault="00985870" w:rsidP="00572DE7"/>
                <w:p w:rsidR="00985870" w:rsidRDefault="00985870" w:rsidP="00572DE7"/>
                <w:tbl>
                  <w:tblPr>
                    <w:tblStyle w:val="Tabel-Gitter"/>
                    <w:tblW w:w="219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93"/>
                  </w:tblGrid>
                  <w:tr w:rsidR="00985870">
                    <w:tc>
                      <w:tcPr>
                        <w:tcW w:w="2193" w:type="dxa"/>
                        <w:tcBorders>
                          <w:top w:val="nil"/>
                          <w:left w:val="nil"/>
                          <w:bottom w:val="single" w:sz="4" w:space="0" w:color="auto"/>
                          <w:right w:val="nil"/>
                        </w:tcBorders>
                        <w:hideMark/>
                      </w:tcPr>
                      <w:p w:rsidR="00985870" w:rsidRDefault="00985870">
                        <w:pPr>
                          <w:pStyle w:val="Faktalinier"/>
                        </w:pPr>
                        <w:r>
                          <w:t>19-01-2020</w:t>
                        </w:r>
                      </w:p>
                    </w:tc>
                  </w:tr>
                  <w:tr w:rsidR="00985870">
                    <w:tc>
                      <w:tcPr>
                        <w:tcW w:w="2193" w:type="dxa"/>
                        <w:tcBorders>
                          <w:top w:val="single" w:sz="4" w:space="0" w:color="auto"/>
                          <w:left w:val="nil"/>
                          <w:bottom w:val="nil"/>
                          <w:right w:val="nil"/>
                        </w:tcBorders>
                      </w:tcPr>
                      <w:p w:rsidR="00985870" w:rsidRDefault="00985870">
                        <w:pPr>
                          <w:pStyle w:val="Faktalinier"/>
                        </w:pPr>
                      </w:p>
                    </w:tc>
                  </w:tr>
                  <w:tr w:rsidR="00985870">
                    <w:tc>
                      <w:tcPr>
                        <w:tcW w:w="2193" w:type="dxa"/>
                        <w:hideMark/>
                      </w:tcPr>
                      <w:p w:rsidR="00985870" w:rsidRDefault="00985870">
                        <w:pPr>
                          <w:pStyle w:val="Faktalinier"/>
                        </w:pPr>
                        <w:r>
                          <w:t xml:space="preserve"> </w:t>
                        </w:r>
                      </w:p>
                    </w:tc>
                  </w:tr>
                  <w:tr w:rsidR="00985870">
                    <w:tc>
                      <w:tcPr>
                        <w:tcW w:w="2193" w:type="dxa"/>
                        <w:tcBorders>
                          <w:top w:val="nil"/>
                          <w:left w:val="nil"/>
                          <w:bottom w:val="single" w:sz="4" w:space="0" w:color="auto"/>
                          <w:right w:val="nil"/>
                        </w:tcBorders>
                        <w:hideMark/>
                      </w:tcPr>
                      <w:p w:rsidR="00985870" w:rsidRDefault="00985870">
                        <w:pPr>
                          <w:pStyle w:val="Faktalinier"/>
                        </w:pPr>
                        <w:r>
                          <w:t xml:space="preserve">Side </w:t>
                        </w:r>
                        <w:r>
                          <w:fldChar w:fldCharType="begin"/>
                        </w:r>
                        <w:r>
                          <w:instrText xml:space="preserve"> PAGE </w:instrText>
                        </w:r>
                        <w:r>
                          <w:fldChar w:fldCharType="separate"/>
                        </w:r>
                        <w:r w:rsidR="004C2530">
                          <w:t>1</w:t>
                        </w:r>
                        <w:r>
                          <w:fldChar w:fldCharType="end"/>
                        </w:r>
                        <w:r>
                          <w:t xml:space="preserve">/ </w:t>
                        </w:r>
                        <w:r>
                          <w:fldChar w:fldCharType="begin"/>
                        </w:r>
                        <w:r>
                          <w:instrText xml:space="preserve"> NUMPAGES </w:instrText>
                        </w:r>
                        <w:r>
                          <w:fldChar w:fldCharType="separate"/>
                        </w:r>
                        <w:r w:rsidR="004C2530">
                          <w:t>3</w:t>
                        </w:r>
                        <w:r>
                          <w:fldChar w:fldCharType="end"/>
                        </w:r>
                      </w:p>
                    </w:tc>
                  </w:tr>
                  <w:tr w:rsidR="00985870">
                    <w:tc>
                      <w:tcPr>
                        <w:tcW w:w="2193" w:type="dxa"/>
                        <w:tcBorders>
                          <w:top w:val="single" w:sz="4" w:space="0" w:color="auto"/>
                          <w:left w:val="nil"/>
                          <w:bottom w:val="single" w:sz="4" w:space="0" w:color="auto"/>
                          <w:right w:val="nil"/>
                        </w:tcBorders>
                      </w:tcPr>
                      <w:p w:rsidR="00985870" w:rsidRDefault="00985870">
                        <w:pPr>
                          <w:pStyle w:val="Faktalinier"/>
                        </w:pP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J. nr.: 00.07.00-A26-1-20</w:t>
                        </w:r>
                      </w:p>
                    </w:tc>
                  </w:tr>
                  <w:tr w:rsidR="00985870">
                    <w:tc>
                      <w:tcPr>
                        <w:tcW w:w="2193" w:type="dxa"/>
                        <w:tcBorders>
                          <w:top w:val="single" w:sz="4" w:space="0" w:color="auto"/>
                          <w:left w:val="nil"/>
                          <w:bottom w:val="single" w:sz="4" w:space="0" w:color="auto"/>
                          <w:right w:val="nil"/>
                        </w:tcBorders>
                      </w:tcPr>
                      <w:p w:rsidR="00985870" w:rsidRDefault="00985870">
                        <w:pPr>
                          <w:pStyle w:val="Faktalinier"/>
                        </w:pP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Kontaktperson:</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Tobias Smal</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Lokaltlf.: 76 81 60 12</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Mobil: 28252724</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rPr>
                            <w:lang w:val="de-DE"/>
                          </w:rPr>
                        </w:pPr>
                        <w:r>
                          <w:rPr>
                            <w:lang w:val="de-DE"/>
                          </w:rPr>
                          <w:t>E-post: tobsm@vejle.dk</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Her bor vi:</w:t>
                        </w:r>
                      </w:p>
                    </w:tc>
                  </w:tr>
                  <w:tr w:rsidR="00985870">
                    <w:tc>
                      <w:tcPr>
                        <w:tcW w:w="2193" w:type="dxa"/>
                        <w:tcBorders>
                          <w:top w:val="single" w:sz="4" w:space="0" w:color="auto"/>
                          <w:left w:val="nil"/>
                          <w:bottom w:val="single" w:sz="4" w:space="0" w:color="auto"/>
                          <w:right w:val="nil"/>
                        </w:tcBorders>
                        <w:hideMark/>
                      </w:tcPr>
                      <w:p w:rsidR="00985870" w:rsidRDefault="00985870">
                        <w:pPr>
                          <w:pStyle w:val="Faktalinier"/>
                        </w:pPr>
                        <w:r>
                          <w:t>Skolegade 1, 7100 Vejle</w:t>
                        </w:r>
                      </w:p>
                    </w:tc>
                  </w:tr>
                </w:tbl>
                <w:p w:rsidR="00985870" w:rsidRDefault="00985870" w:rsidP="00572DE7"/>
                <w:p w:rsidR="00985870" w:rsidRDefault="00985870" w:rsidP="00572DE7"/>
              </w:txbxContent>
            </v:textbox>
            <w10:wrap type="square" anchorx="page" anchory="page"/>
          </v:shape>
        </w:pict>
      </w:r>
    </w:p>
    <w:p w:rsidR="00985870" w:rsidRPr="00AA72A3" w:rsidRDefault="00985870" w:rsidP="00AA72A3"/>
    <w:p w:rsidR="00985870" w:rsidRDefault="00985870" w:rsidP="00AA72A3">
      <w:pPr>
        <w:tabs>
          <w:tab w:val="left" w:pos="5415"/>
        </w:tabs>
      </w:pPr>
    </w:p>
    <w:p w:rsidR="00985870" w:rsidRPr="00AA72A3" w:rsidRDefault="003405A9" w:rsidP="00AA72A3">
      <w:pPr>
        <w:tabs>
          <w:tab w:val="left" w:pos="5415"/>
        </w:tabs>
      </w:pPr>
      <w:r>
        <w:rPr>
          <w:noProof/>
        </w:rPr>
        <w:pict>
          <v:shape id="_x0000_s1027" type="#_x0000_t202" style="position:absolute;margin-left:-36pt;margin-top:769.05pt;width:542.25pt;height:54pt;z-index:251660288;mso-position-vertical-relative:page" stroked="f">
            <v:textbox style="mso-next-textbox:#_x0000_s1027">
              <w:txbxContent>
                <w:tbl>
                  <w:tblPr>
                    <w:tblStyle w:val="Tabel-Gitter"/>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00"/>
                    <w:gridCol w:w="5670"/>
                  </w:tblGrid>
                  <w:tr w:rsidR="00985870" w:rsidTr="00772B79">
                    <w:trPr>
                      <w:trHeight w:val="851"/>
                    </w:trPr>
                    <w:tc>
                      <w:tcPr>
                        <w:tcW w:w="4100" w:type="dxa"/>
                        <w:hideMark/>
                      </w:tcPr>
                      <w:p w:rsidR="00985870" w:rsidRDefault="00985870">
                        <w:r>
                          <w:rPr>
                            <w:sz w:val="20"/>
                            <w:szCs w:val="20"/>
                          </w:rPr>
                          <w:t xml:space="preserve"> </w:t>
                        </w:r>
                        <w:r w:rsidR="003405A9">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39pt">
                              <v:imagedata r:id="rId7" o:title=""/>
                            </v:shape>
                          </w:pict>
                        </w:r>
                      </w:p>
                    </w:tc>
                    <w:tc>
                      <w:tcPr>
                        <w:tcW w:w="5670" w:type="dxa"/>
                        <w:hideMark/>
                      </w:tcPr>
                      <w:p w:rsidR="00985870" w:rsidRDefault="00985870">
                        <w:pPr>
                          <w:pStyle w:val="Adresselinie1"/>
                        </w:pPr>
                        <w:r>
                          <w:rPr>
                            <w:bCs/>
                          </w:rPr>
                          <w:t>Velfærdsforvaltningen - Velfærdsstaben</w:t>
                        </w:r>
                      </w:p>
                      <w:p w:rsidR="00985870" w:rsidRDefault="00985870">
                        <w:pPr>
                          <w:pStyle w:val="Adresselinier"/>
                        </w:pPr>
                        <w:r>
                          <w:t>Skolegade 1, 7100 Vejle</w:t>
                        </w:r>
                        <w:r>
                          <w:sym w:font="Arial" w:char="00A0"/>
                        </w:r>
                        <w:r>
                          <w:t>Tlf.: 76816012</w:t>
                        </w:r>
                      </w:p>
                      <w:p w:rsidR="00985870" w:rsidRDefault="00985870">
                        <w:pPr>
                          <w:pStyle w:val="Adresselinier"/>
                        </w:pPr>
                        <w:r>
                          <w:t>TOBSM@vejle.dk · www.vejle.dk</w:t>
                        </w:r>
                      </w:p>
                      <w:p w:rsidR="00985870" w:rsidRDefault="00985870">
                        <w:pPr>
                          <w:pStyle w:val="Adresselinier"/>
                        </w:pPr>
                        <w:r>
                          <w:t>Åbningstider: Mandag-onsdag kl. 9-15, Torsdag kl. 9-17, Fredag kl. 9-14</w:t>
                        </w:r>
                      </w:p>
                      <w:p w:rsidR="00985870" w:rsidRDefault="00985870">
                        <w:pPr>
                          <w:pStyle w:val="Adresselinier"/>
                        </w:pPr>
                        <w:r>
                          <w:t>Reg. nr. 4597 konto 642 56 03000· CVR Nr. 29189900 · EAN Nr.</w:t>
                        </w:r>
                      </w:p>
                    </w:tc>
                  </w:tr>
                </w:tbl>
                <w:p w:rsidR="00985870" w:rsidRDefault="00985870" w:rsidP="00572DE7"/>
              </w:txbxContent>
            </v:textbox>
            <w10:wrap type="square" anchory="page"/>
          </v:shape>
        </w:pict>
      </w:r>
    </w:p>
    <w:p w:rsidR="00985870" w:rsidRPr="00816828" w:rsidRDefault="00985870" w:rsidP="00DB722E">
      <w:pPr>
        <w:rPr>
          <w:b/>
        </w:rPr>
      </w:pPr>
      <w:bookmarkStart w:id="1" w:name="bkmD2MHeading"/>
      <w:r w:rsidRPr="00816828">
        <w:rPr>
          <w:b/>
        </w:rPr>
        <w:t>Udkast til besvarelse af henvendelse fra Ankestyrelsen</w:t>
      </w:r>
      <w:bookmarkEnd w:id="1"/>
      <w:r w:rsidR="0095377B">
        <w:rPr>
          <w:b/>
        </w:rPr>
        <w:t>, j.nr. 19-61549</w:t>
      </w:r>
    </w:p>
    <w:p w:rsidR="00985870" w:rsidRDefault="00985870" w:rsidP="00DB722E"/>
    <w:p w:rsidR="00985870" w:rsidRPr="00DB722E" w:rsidRDefault="00985870" w:rsidP="00DB722E"/>
    <w:p w:rsidR="00985870" w:rsidRDefault="0095377B" w:rsidP="004C6123">
      <w:r>
        <w:t>Vejle Byråd</w:t>
      </w:r>
      <w:r w:rsidR="00C32489">
        <w:t xml:space="preserve"> er blevet forelagt Ankestyrelsens henvendelse</w:t>
      </w:r>
      <w:r w:rsidR="00A83925">
        <w:t>r</w:t>
      </w:r>
      <w:r w:rsidR="00C32489">
        <w:t xml:space="preserve"> af 20. december 2019</w:t>
      </w:r>
      <w:r w:rsidR="00A83925">
        <w:t xml:space="preserve"> og 8. januar 2020</w:t>
      </w:r>
      <w:r w:rsidR="00C32489">
        <w:t>, hvori Ankestyrelsen anmoder om en redegørelse for Vejle Kommunes brug af konsulenter på det sociale område. Neden for følger Byrådets besvarelse af anmodningen i punktform.</w:t>
      </w:r>
    </w:p>
    <w:p w:rsidR="00C32489" w:rsidRDefault="00C32489" w:rsidP="004C6123"/>
    <w:p w:rsidR="00C32489" w:rsidRDefault="00C32489" w:rsidP="00C32489">
      <w:pPr>
        <w:pStyle w:val="Listeafsnit"/>
        <w:numPr>
          <w:ilvl w:val="0"/>
          <w:numId w:val="1"/>
        </w:numPr>
        <w:rPr>
          <w:b/>
        </w:rPr>
      </w:pPr>
      <w:r>
        <w:rPr>
          <w:b/>
        </w:rPr>
        <w:t>Hvilke opgaver konsulentfirmaet, der er indgået aftale med, er blevet bedt om at varetage</w:t>
      </w:r>
    </w:p>
    <w:p w:rsidR="00282E71" w:rsidRDefault="00282E71" w:rsidP="00C32489"/>
    <w:p w:rsidR="00C32489" w:rsidRDefault="00C32489" w:rsidP="00C32489">
      <w:r>
        <w:t>Vejle Kommune har i 2018 indgået to kontrakter med firmaet Brorson Consult. Begge kontrakter er medsendt denne redegørelse.</w:t>
      </w:r>
    </w:p>
    <w:p w:rsidR="00C32489" w:rsidRDefault="00C32489" w:rsidP="00C32489"/>
    <w:p w:rsidR="00C32489" w:rsidRDefault="00282E71" w:rsidP="00C32489">
      <w:r>
        <w:t>Kontrakt 1 (bilag 8</w:t>
      </w:r>
      <w:r w:rsidR="00C32489">
        <w:t>) omhandler levering af i alt 100 konsulenttimer inden for områderne:</w:t>
      </w:r>
    </w:p>
    <w:p w:rsidR="00C32489" w:rsidRDefault="00C32489" w:rsidP="00C32489"/>
    <w:p w:rsidR="00C32489" w:rsidRDefault="00C32489" w:rsidP="00C32489">
      <w:pPr>
        <w:pStyle w:val="Listeafsnit"/>
        <w:numPr>
          <w:ilvl w:val="0"/>
          <w:numId w:val="2"/>
        </w:numPr>
      </w:pPr>
      <w:r>
        <w:t>Forhandling af indsats og takst med interne og eksterne leverandører på socialområdet</w:t>
      </w:r>
    </w:p>
    <w:p w:rsidR="00C32489" w:rsidRDefault="00C32489" w:rsidP="00C32489">
      <w:pPr>
        <w:pStyle w:val="Listeafsnit"/>
        <w:numPr>
          <w:ilvl w:val="0"/>
          <w:numId w:val="2"/>
        </w:numPr>
      </w:pPr>
      <w:r>
        <w:t>Sparring til afdelingsleder om organisering af afdelingen</w:t>
      </w:r>
    </w:p>
    <w:p w:rsidR="00C32489" w:rsidRDefault="00C32489" w:rsidP="00C32489">
      <w:pPr>
        <w:pStyle w:val="Listeafsnit"/>
        <w:numPr>
          <w:ilvl w:val="0"/>
          <w:numId w:val="2"/>
        </w:numPr>
      </w:pPr>
      <w:r>
        <w:t>Udvikling af værktøj til dokumentation inden for bostøtteområdet</w:t>
      </w:r>
    </w:p>
    <w:p w:rsidR="00C32489" w:rsidRDefault="00C32489" w:rsidP="00C32489"/>
    <w:p w:rsidR="00C32489" w:rsidRDefault="00C32489" w:rsidP="00C32489">
      <w:r>
        <w:t xml:space="preserve">Kontrakt 2 (bilag </w:t>
      </w:r>
      <w:r w:rsidR="00282E71">
        <w:t>9</w:t>
      </w:r>
      <w:r>
        <w:t>) omhandler analyse og forhandling af 45 borgersager</w:t>
      </w:r>
      <w:r w:rsidR="00333428">
        <w:t>, hvor følgende punkter vurderes i hver enkelt sag:</w:t>
      </w:r>
    </w:p>
    <w:p w:rsidR="00333428" w:rsidRDefault="00333428" w:rsidP="00C32489"/>
    <w:p w:rsidR="00333428" w:rsidRDefault="00333428" w:rsidP="00333428">
      <w:pPr>
        <w:pStyle w:val="Listeafsnit"/>
        <w:numPr>
          <w:ilvl w:val="0"/>
          <w:numId w:val="2"/>
        </w:numPr>
      </w:pPr>
      <w:r>
        <w:t>Oplysningsgrad i forhold til borgerens behov</w:t>
      </w:r>
    </w:p>
    <w:p w:rsidR="00333428" w:rsidRDefault="00333428" w:rsidP="00333428">
      <w:pPr>
        <w:pStyle w:val="Listeafsnit"/>
        <w:numPr>
          <w:ilvl w:val="0"/>
          <w:numId w:val="2"/>
        </w:numPr>
      </w:pPr>
      <w:r>
        <w:t>Kvalitet af opfølgningsmateriale og dokumentation modtaget fra leverandør</w:t>
      </w:r>
    </w:p>
    <w:p w:rsidR="00333428" w:rsidRDefault="00333428" w:rsidP="00333428">
      <w:pPr>
        <w:pStyle w:val="Listeafsnit"/>
        <w:numPr>
          <w:ilvl w:val="0"/>
          <w:numId w:val="2"/>
        </w:numPr>
      </w:pPr>
      <w:r>
        <w:t>Forhandlingspotentialets beskaffenhed og omfang</w:t>
      </w:r>
    </w:p>
    <w:p w:rsidR="00333428" w:rsidRDefault="00333428" w:rsidP="00333428">
      <w:pPr>
        <w:pStyle w:val="Listeafsnit"/>
        <w:numPr>
          <w:ilvl w:val="0"/>
          <w:numId w:val="2"/>
        </w:numPr>
      </w:pPr>
      <w:r>
        <w:t>Eventuelle mangler i sagsbehandlingen, både på enkeltsager og generelt</w:t>
      </w:r>
    </w:p>
    <w:p w:rsidR="0081272C" w:rsidRDefault="0081272C" w:rsidP="0081272C"/>
    <w:p w:rsidR="0081272C" w:rsidRDefault="0081272C" w:rsidP="0081272C">
      <w:pPr>
        <w:pStyle w:val="Listeafsnit"/>
        <w:numPr>
          <w:ilvl w:val="0"/>
          <w:numId w:val="1"/>
        </w:numPr>
        <w:rPr>
          <w:b/>
        </w:rPr>
      </w:pPr>
      <w:r>
        <w:rPr>
          <w:b/>
        </w:rPr>
        <w:t>Hvordan konsulentfirmaet har arbejdet med konkrete borgersager for at kunne komme med anbefalinger i forhold til bl.a. kvalitet og effektivisering</w:t>
      </w:r>
    </w:p>
    <w:p w:rsidR="00282E71" w:rsidRDefault="00282E71" w:rsidP="0081272C"/>
    <w:p w:rsidR="0081272C" w:rsidRDefault="0081272C" w:rsidP="0081272C">
      <w:r>
        <w:t xml:space="preserve">Ved kontrakt 1 </w:t>
      </w:r>
      <w:r w:rsidR="0095377B">
        <w:t>har sagsbehandler og afdelings</w:t>
      </w:r>
      <w:r>
        <w:t>leder fra Myndighedsafdelingen i Vejle Kommune sammen med konsulenten deltaget i forhandlingsmøder med leverandøren.</w:t>
      </w:r>
    </w:p>
    <w:p w:rsidR="0081272C" w:rsidRDefault="0081272C" w:rsidP="0081272C"/>
    <w:p w:rsidR="0081272C" w:rsidRDefault="0081272C" w:rsidP="0081272C">
      <w:r>
        <w:t xml:space="preserve">Ved kontrakt 2 har konsulenten først gennemgået borgersagerne, hvorefter konsulenten har udarbejdet et skema med sine bemærkninger til hver enkelt sag. Skemaet er vedlagt som bilag </w:t>
      </w:r>
      <w:r w:rsidR="00282E71">
        <w:t>11</w:t>
      </w:r>
      <w:r>
        <w:t xml:space="preserve">. </w:t>
      </w:r>
      <w:r w:rsidR="00B44EEB">
        <w:t xml:space="preserve">Kommunen har en fast opfølgningskadence i den type borgersager, som kontrakten vedrører. </w:t>
      </w:r>
      <w:r w:rsidR="00132893">
        <w:t>K</w:t>
      </w:r>
      <w:r w:rsidR="00B44EEB">
        <w:t xml:space="preserve">onsulentens bemærkninger </w:t>
      </w:r>
      <w:r w:rsidR="00132893">
        <w:t xml:space="preserve">er blevet brugt </w:t>
      </w:r>
      <w:r w:rsidR="00B44EEB">
        <w:t>til at afklare, om der i de enkelte sager var behov for yderligere opfølgning på</w:t>
      </w:r>
      <w:r w:rsidR="001F557A">
        <w:t xml:space="preserve"> og vurdering af</w:t>
      </w:r>
      <w:r w:rsidR="00B44EEB">
        <w:t xml:space="preserve"> sammenhængen mellem borgerens behov, den bevilgede indsats og taksten.</w:t>
      </w:r>
    </w:p>
    <w:p w:rsidR="0081272C" w:rsidRDefault="0081272C" w:rsidP="0081272C"/>
    <w:p w:rsidR="0081272C" w:rsidRDefault="0081272C" w:rsidP="0081272C">
      <w:r>
        <w:t>Konsulenten har hverken ved kontrakt 1 eller 2 tilvejebragt oplysningsgrundlaget eller på anden vis udarbejdet materiale, som ligger til grund for konkrete afgørelser i de enkelte sager. Konsulenten har ej heller lavet faglige vurderinger</w:t>
      </w:r>
      <w:r w:rsidR="001512E7">
        <w:t xml:space="preserve"> i sagerne eller udarbejdet udkast til indstillinger eller afgørelser. Såvel kommunen som konsulenten har haft et særligt fokus på, at konsulenten alene skulle bistå med sine anbefalinger i de enkelte sager og således ikke udføre myndighedsarbejde.</w:t>
      </w:r>
    </w:p>
    <w:p w:rsidR="0081272C" w:rsidRDefault="0081272C" w:rsidP="0081272C"/>
    <w:p w:rsidR="001512E7" w:rsidRDefault="0081272C" w:rsidP="0081272C">
      <w:r>
        <w:t>Konsulenten har deltaget i møder om sagerne, herunder forhandlingsmøder med leverandørerne.</w:t>
      </w:r>
    </w:p>
    <w:p w:rsidR="001512E7" w:rsidRDefault="001512E7" w:rsidP="0081272C"/>
    <w:p w:rsidR="0081272C" w:rsidRDefault="001512E7" w:rsidP="001512E7">
      <w:pPr>
        <w:pStyle w:val="Listeafsnit"/>
        <w:numPr>
          <w:ilvl w:val="0"/>
          <w:numId w:val="1"/>
        </w:numPr>
        <w:rPr>
          <w:b/>
        </w:rPr>
      </w:pPr>
      <w:r w:rsidRPr="001512E7">
        <w:rPr>
          <w:b/>
        </w:rPr>
        <w:t>Antallet af sager, hvor en borgers allerede bevilgede hjælp/støtte/tilbud mv. efter servicelovens regler er blevet ændret efter konsulentfirmaets gennemgang</w:t>
      </w:r>
    </w:p>
    <w:p w:rsidR="00282E71" w:rsidRDefault="00282E71" w:rsidP="001512E7"/>
    <w:p w:rsidR="001512E7" w:rsidRDefault="001512E7" w:rsidP="001512E7">
      <w:r>
        <w:t>Ved kontrakt 1 skete der en ændring i støtten til tre borgere.</w:t>
      </w:r>
    </w:p>
    <w:p w:rsidR="001512E7" w:rsidRDefault="001512E7" w:rsidP="001512E7"/>
    <w:p w:rsidR="001512E7" w:rsidRDefault="001512E7" w:rsidP="001512E7">
      <w:r>
        <w:t xml:space="preserve">Ved kontrakt 2 skete der en ændring i støtten til </w:t>
      </w:r>
      <w:r w:rsidR="00A55F11">
        <w:t>seks</w:t>
      </w:r>
      <w:r>
        <w:t xml:space="preserve"> borgere.</w:t>
      </w:r>
    </w:p>
    <w:p w:rsidR="001512E7" w:rsidRDefault="001512E7" w:rsidP="001512E7"/>
    <w:p w:rsidR="001512E7" w:rsidRDefault="001512E7" w:rsidP="001512E7">
      <w:pPr>
        <w:pStyle w:val="Listeafsnit"/>
        <w:numPr>
          <w:ilvl w:val="0"/>
          <w:numId w:val="1"/>
        </w:numPr>
        <w:rPr>
          <w:b/>
        </w:rPr>
      </w:pPr>
      <w:r>
        <w:rPr>
          <w:b/>
        </w:rPr>
        <w:t xml:space="preserve">Hvorvidt kommunen efterfølgende har konstateret, at der er truffet urigtige afgørelser efter konsulentfirmaets gennemgang af de enkelte sager, herunder hvorvidt kommunen i så fald har </w:t>
      </w:r>
      <w:r w:rsidR="008142F2">
        <w:rPr>
          <w:b/>
        </w:rPr>
        <w:t>rettet op på fejlene i disse afgørelser</w:t>
      </w:r>
    </w:p>
    <w:p w:rsidR="00282E71" w:rsidRDefault="00282E71" w:rsidP="008142F2"/>
    <w:p w:rsidR="008142F2" w:rsidRDefault="008142F2" w:rsidP="008142F2">
      <w:r>
        <w:t>Kommunen har ikke konstateret, at der er truffet urigtige afgørelser i sagerne.</w:t>
      </w:r>
    </w:p>
    <w:p w:rsidR="008142F2" w:rsidRDefault="008142F2" w:rsidP="008142F2"/>
    <w:p w:rsidR="008142F2" w:rsidRDefault="008142F2" w:rsidP="008142F2">
      <w:pPr>
        <w:pStyle w:val="Listeafsnit"/>
        <w:numPr>
          <w:ilvl w:val="0"/>
          <w:numId w:val="1"/>
        </w:numPr>
        <w:rPr>
          <w:b/>
        </w:rPr>
      </w:pPr>
      <w:r>
        <w:rPr>
          <w:b/>
        </w:rPr>
        <w:t>Hvilket beløb kommunen ved kontrakten</w:t>
      </w:r>
      <w:r w:rsidR="0071437D">
        <w:rPr>
          <w:b/>
        </w:rPr>
        <w:t>s</w:t>
      </w:r>
      <w:r>
        <w:rPr>
          <w:b/>
        </w:rPr>
        <w:t xml:space="preserve"> indgåelse budgetterede med at betale til konsulentfirmaet, og hvilket beløb kommunen har betalt til konsulentfirmaet på nuværende tidspunkt</w:t>
      </w:r>
    </w:p>
    <w:p w:rsidR="0071437D" w:rsidRDefault="0071437D" w:rsidP="008142F2"/>
    <w:p w:rsidR="008142F2" w:rsidRDefault="008142F2" w:rsidP="008142F2">
      <w:r>
        <w:t>Ved kontrakt 1 var prisen for ydelsen kendt på forhånd. Vejle Kommune</w:t>
      </w:r>
      <w:r w:rsidR="0095377B">
        <w:t xml:space="preserve"> har</w:t>
      </w:r>
      <w:r>
        <w:t xml:space="preserve"> derfor skulle</w:t>
      </w:r>
      <w:r w:rsidR="0095377B">
        <w:t>t</w:t>
      </w:r>
      <w:r>
        <w:t xml:space="preserve"> betale det aftalte beløb for levering af 100 timer til e</w:t>
      </w:r>
      <w:r w:rsidR="0095377B">
        <w:t>n stykpris á 1.200 kr., i alt 120.000 kr.</w:t>
      </w:r>
    </w:p>
    <w:p w:rsidR="008142F2" w:rsidRDefault="008142F2" w:rsidP="008142F2"/>
    <w:p w:rsidR="008142F2" w:rsidRDefault="008142F2" w:rsidP="008142F2">
      <w:r>
        <w:t xml:space="preserve">Ved kontrakt 2 </w:t>
      </w:r>
      <w:r w:rsidR="00F51E63">
        <w:t>budgetterede Vejle Kommune med at skulle betale ca. 100.000 kr. til konsulentfirmaet. Det samlede beløb afregne</w:t>
      </w:r>
      <w:r w:rsidR="0095377B">
        <w:t>t til konsulentfirmaet endte</w:t>
      </w:r>
      <w:r w:rsidR="00F51E63">
        <w:t xml:space="preserve"> med at blive ca. 212.000 kr.</w:t>
      </w:r>
    </w:p>
    <w:p w:rsidR="00F51E63" w:rsidRDefault="00F51E63" w:rsidP="008142F2"/>
    <w:p w:rsidR="00F51E63" w:rsidRDefault="00F51E63" w:rsidP="008142F2">
      <w:r>
        <w:t>Begge kontrakter er afsluttet, og der er ikke indgået flere kontrakter, hvorfor ovenstående er udtryk for den samlede udgift i forbindelse med samarbejdet med konsulentfirmaet.</w:t>
      </w:r>
    </w:p>
    <w:p w:rsidR="00F51E63" w:rsidRDefault="00F51E63" w:rsidP="008142F2"/>
    <w:p w:rsidR="00F51E63" w:rsidRDefault="00F51E63" w:rsidP="00F51E63">
      <w:pPr>
        <w:pStyle w:val="Listeafsnit"/>
        <w:numPr>
          <w:ilvl w:val="0"/>
          <w:numId w:val="1"/>
        </w:numPr>
        <w:rPr>
          <w:b/>
        </w:rPr>
      </w:pPr>
      <w:r>
        <w:rPr>
          <w:b/>
        </w:rPr>
        <w:t>Hvorvidt der er indgået aftale med konsulentfirmaet om</w:t>
      </w:r>
      <w:r w:rsidR="0095377B">
        <w:rPr>
          <w:b/>
        </w:rPr>
        <w:t xml:space="preserve"> betaling efter ”no cure no pay</w:t>
      </w:r>
      <w:r>
        <w:rPr>
          <w:b/>
        </w:rPr>
        <w:t>-princippet</w:t>
      </w:r>
      <w:r w:rsidR="0095377B">
        <w:rPr>
          <w:b/>
        </w:rPr>
        <w:t>”</w:t>
      </w:r>
    </w:p>
    <w:p w:rsidR="00282E71" w:rsidRDefault="00282E71" w:rsidP="00F51E63"/>
    <w:p w:rsidR="00F51E63" w:rsidRDefault="00F51E63" w:rsidP="00F51E63">
      <w:r>
        <w:t>I kontrakt 2 er der indgået aftale om</w:t>
      </w:r>
      <w:r w:rsidR="0095377B">
        <w:t xml:space="preserve"> betaling efter ”no cure no pay</w:t>
      </w:r>
      <w:r>
        <w:t>-princippet</w:t>
      </w:r>
      <w:r w:rsidR="0095377B">
        <w:t>”</w:t>
      </w:r>
      <w:r>
        <w:t>. Kriterierne for betaling fremgår af kontrakten og er følgende:</w:t>
      </w:r>
    </w:p>
    <w:p w:rsidR="00282E71" w:rsidRDefault="00282E71" w:rsidP="00F51E63"/>
    <w:p w:rsidR="00282E71" w:rsidRDefault="00282E71" w:rsidP="00F51E63">
      <w:r>
        <w:t>Prisen for konsulentens arbejde udgøres af en engangsbetaling på 10 procent af den forhandlede besparelse i de 45 borgersager i de næste 12 måneder, tillagt moms og kørsel. Hvis der eksempelvis samlet set forhandles en månedlig reduktion på 200.000 kr., vil besparelsen de næste 12 måneder forventeligt udgøre 2.400.000 kr. Konsulenten har i dette eksempel krav på honorar på 240.000 kr., tillagt moms og kørsel. Opgørelsen af den årlige besparelse baseres på forskellen mellem den aktuelle årlige udgift og den årlige udgift i de nye betalingsaftaler. Eventuelle ændringer i borgersagen inden for de 12 måneder efter afslutning af forhandlingsforløbet har ingen indflydelse på konsulentens honorar.</w:t>
      </w:r>
    </w:p>
    <w:p w:rsidR="00282E71" w:rsidRDefault="00282E71" w:rsidP="00F51E63"/>
    <w:p w:rsidR="005C4F3C" w:rsidRDefault="005C4F3C" w:rsidP="005C4F3C">
      <w:pPr>
        <w:pStyle w:val="Listeafsnit"/>
        <w:numPr>
          <w:ilvl w:val="0"/>
          <w:numId w:val="1"/>
        </w:numPr>
        <w:rPr>
          <w:b/>
        </w:rPr>
      </w:pPr>
      <w:r>
        <w:rPr>
          <w:b/>
        </w:rPr>
        <w:t>Om der har været sager, hvor konsulentfirmaet både har givet rådgivning og selv tilbudt at overtage indsatsen for borgeren i den konkrete sag</w:t>
      </w:r>
    </w:p>
    <w:p w:rsidR="005C4F3C" w:rsidRDefault="005C4F3C" w:rsidP="005C4F3C">
      <w:pPr>
        <w:rPr>
          <w:b/>
        </w:rPr>
      </w:pPr>
    </w:p>
    <w:p w:rsidR="005C4F3C" w:rsidRPr="005C4F3C" w:rsidRDefault="005C4F3C" w:rsidP="005C4F3C">
      <w:r>
        <w:t>Nej, Brorson Consult beskæftiger sig ikke med at yde støtte til borgerne.</w:t>
      </w:r>
    </w:p>
    <w:p w:rsidR="005C4F3C" w:rsidRDefault="005C4F3C" w:rsidP="00F51E63">
      <w:pPr>
        <w:rPr>
          <w:b/>
        </w:rPr>
      </w:pPr>
    </w:p>
    <w:p w:rsidR="005C4F3C" w:rsidRDefault="005C4F3C" w:rsidP="00F51E63">
      <w:pPr>
        <w:rPr>
          <w:b/>
        </w:rPr>
      </w:pPr>
    </w:p>
    <w:p w:rsidR="00282E71" w:rsidRDefault="00282E71" w:rsidP="00F51E63">
      <w:pPr>
        <w:rPr>
          <w:b/>
        </w:rPr>
      </w:pPr>
      <w:r>
        <w:rPr>
          <w:b/>
        </w:rPr>
        <w:t>Vedlagte bilag</w:t>
      </w:r>
    </w:p>
    <w:p w:rsidR="00282E71" w:rsidRDefault="00282E71" w:rsidP="00F51E63">
      <w:pPr>
        <w:rPr>
          <w:b/>
        </w:rPr>
      </w:pPr>
    </w:p>
    <w:p w:rsidR="00282E71" w:rsidRDefault="00282E71" w:rsidP="00F51E63">
      <w:r>
        <w:t>Bilag 1 – Borgersag 1</w:t>
      </w:r>
    </w:p>
    <w:p w:rsidR="00282E71" w:rsidRDefault="00282E71" w:rsidP="00F51E63">
      <w:r>
        <w:t>Bilag 2 – Borgersag 2</w:t>
      </w:r>
    </w:p>
    <w:p w:rsidR="00282E71" w:rsidRDefault="00282E71" w:rsidP="00F51E63">
      <w:r>
        <w:t>Bilag 3 – Borgersag 3</w:t>
      </w:r>
    </w:p>
    <w:p w:rsidR="00282E71" w:rsidRDefault="00282E71" w:rsidP="00F51E63">
      <w:r>
        <w:t>Bilag 4 – Borgersag 4</w:t>
      </w:r>
    </w:p>
    <w:p w:rsidR="00282E71" w:rsidRDefault="00282E71" w:rsidP="00F51E63">
      <w:r>
        <w:t>Bilag 5 – Borgersag 5</w:t>
      </w:r>
    </w:p>
    <w:p w:rsidR="00282E71" w:rsidRDefault="00282E71" w:rsidP="00F51E63">
      <w:r>
        <w:t xml:space="preserve">Bilag 6 </w:t>
      </w:r>
      <w:r w:rsidR="0071437D">
        <w:t>–</w:t>
      </w:r>
      <w:r>
        <w:t xml:space="preserve"> </w:t>
      </w:r>
      <w:r w:rsidR="0071437D">
        <w:t>Korrespondance med Ekkofonden</w:t>
      </w:r>
    </w:p>
    <w:p w:rsidR="0071437D" w:rsidRDefault="0071437D" w:rsidP="00F51E63">
      <w:r>
        <w:t>Bilag 7 – Yderligere korrespondance med Ekkofonden</w:t>
      </w:r>
    </w:p>
    <w:p w:rsidR="0071437D" w:rsidRDefault="0071437D" w:rsidP="00F51E63">
      <w:r>
        <w:t>Bilag 8 – Kontrakt 1</w:t>
      </w:r>
    </w:p>
    <w:p w:rsidR="0071437D" w:rsidRDefault="0071437D" w:rsidP="00F51E63">
      <w:r>
        <w:t>Bilag 9 – Kontrakt 2</w:t>
      </w:r>
    </w:p>
    <w:p w:rsidR="0071437D" w:rsidRDefault="0071437D" w:rsidP="00F51E63">
      <w:r>
        <w:t>Bilag 10 – Intern redegørelse</w:t>
      </w:r>
      <w:r w:rsidR="0095377B">
        <w:t xml:space="preserve"> af </w:t>
      </w:r>
      <w:r w:rsidR="00895151">
        <w:t xml:space="preserve">d. </w:t>
      </w:r>
      <w:r w:rsidR="0095377B">
        <w:t>13. december 2019</w:t>
      </w:r>
    </w:p>
    <w:p w:rsidR="0071437D" w:rsidRPr="00282E71" w:rsidRDefault="0071437D" w:rsidP="00F51E63">
      <w:r>
        <w:t>Bilag 11 – Forhandlingsliste Brorson Consult</w:t>
      </w:r>
    </w:p>
    <w:p w:rsidR="00C32489" w:rsidRPr="00C32489" w:rsidRDefault="00C32489" w:rsidP="00C32489"/>
    <w:p w:rsidR="00985870" w:rsidRDefault="00985870" w:rsidP="00B87B08">
      <w:pPr>
        <w:pStyle w:val="Ingenafstand"/>
      </w:pPr>
    </w:p>
    <w:p w:rsidR="00985870" w:rsidRDefault="00985870" w:rsidP="00B87B08">
      <w:pPr>
        <w:pStyle w:val="Ingenafstand"/>
      </w:pPr>
    </w:p>
    <w:p w:rsidR="006450B5" w:rsidRDefault="006450B5"/>
    <w:sectPr w:rsidR="006450B5" w:rsidSect="005E0E86">
      <w:headerReference w:type="default" r:id="rId8"/>
      <w:footerReference w:type="default" r:id="rId9"/>
      <w:pgSz w:w="11906" w:h="16838" w:code="9"/>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A9" w:rsidRDefault="003405A9">
      <w:r>
        <w:separator/>
      </w:r>
    </w:p>
  </w:endnote>
  <w:endnote w:type="continuationSeparator" w:id="0">
    <w:p w:rsidR="003405A9" w:rsidRDefault="0034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86" w:rsidRPr="005E0E86" w:rsidRDefault="005E0E86" w:rsidP="005E0E86">
    <w:pPr>
      <w:pStyle w:val="Sidefod"/>
      <w:jc w:val="right"/>
      <w:rPr>
        <w:rFonts w:ascii="Arial" w:hAnsi="Arial" w:cs="Arial"/>
        <w:sz w:val="16"/>
        <w:szCs w:val="16"/>
      </w:rPr>
    </w:pPr>
    <w:r w:rsidRPr="005E0E86">
      <w:rPr>
        <w:rFonts w:ascii="Arial" w:hAnsi="Arial" w:cs="Arial"/>
        <w:sz w:val="16"/>
        <w:szCs w:val="16"/>
      </w:rPr>
      <w:tab/>
      <w:t xml:space="preserve">- </w:t>
    </w:r>
    <w:r w:rsidR="00795AFF" w:rsidRPr="005E0E86">
      <w:rPr>
        <w:rFonts w:ascii="Arial" w:hAnsi="Arial" w:cs="Arial"/>
        <w:sz w:val="16"/>
        <w:szCs w:val="16"/>
      </w:rPr>
      <w:fldChar w:fldCharType="begin"/>
    </w:r>
    <w:r w:rsidRPr="005E0E86">
      <w:rPr>
        <w:rFonts w:ascii="Arial" w:hAnsi="Arial" w:cs="Arial"/>
        <w:sz w:val="16"/>
        <w:szCs w:val="16"/>
      </w:rPr>
      <w:instrText xml:space="preserve"> PAGE </w:instrText>
    </w:r>
    <w:r w:rsidR="00795AFF" w:rsidRPr="005E0E86">
      <w:rPr>
        <w:rFonts w:ascii="Arial" w:hAnsi="Arial" w:cs="Arial"/>
        <w:sz w:val="16"/>
        <w:szCs w:val="16"/>
      </w:rPr>
      <w:fldChar w:fldCharType="separate"/>
    </w:r>
    <w:r w:rsidR="00E36395">
      <w:rPr>
        <w:rFonts w:ascii="Arial" w:hAnsi="Arial" w:cs="Arial"/>
        <w:noProof/>
        <w:sz w:val="16"/>
        <w:szCs w:val="16"/>
      </w:rPr>
      <w:t>3</w:t>
    </w:r>
    <w:r w:rsidR="00795AFF" w:rsidRPr="005E0E86">
      <w:rPr>
        <w:rFonts w:ascii="Arial" w:hAnsi="Arial" w:cs="Arial"/>
        <w:sz w:val="16"/>
        <w:szCs w:val="16"/>
      </w:rPr>
      <w:fldChar w:fldCharType="end"/>
    </w:r>
    <w:r w:rsidRPr="005E0E8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A9" w:rsidRDefault="003405A9">
      <w:r>
        <w:separator/>
      </w:r>
    </w:p>
  </w:footnote>
  <w:footnote w:type="continuationSeparator" w:id="0">
    <w:p w:rsidR="003405A9" w:rsidRDefault="0034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insideH w:val="single" w:sz="2"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tblGrid>
    <w:tr w:rsidR="0086434F" w:rsidTr="0086434F">
      <w:trPr>
        <w:jc w:val="right"/>
      </w:trPr>
      <w:tc>
        <w:tcPr>
          <w:tcW w:w="1624" w:type="dxa"/>
          <w:tcBorders>
            <w:top w:val="single" w:sz="2" w:space="0" w:color="auto"/>
            <w:bottom w:val="single" w:sz="2" w:space="0" w:color="auto"/>
          </w:tcBorders>
        </w:tcPr>
        <w:p w:rsidR="0086434F" w:rsidRDefault="0086434F" w:rsidP="0086434F">
          <w:pPr>
            <w:pStyle w:val="Faktalinier"/>
            <w:framePr w:w="0" w:hSpace="0" w:vSpace="0" w:wrap="auto" w:vAnchor="margin" w:hAnchor="text" w:xAlign="left" w:yAlign="inline"/>
          </w:pPr>
          <w:r>
            <w:t xml:space="preserve">Side: </w:t>
          </w:r>
          <w:r>
            <w:fldChar w:fldCharType="begin"/>
          </w:r>
          <w:r>
            <w:instrText xml:space="preserve"> PAGE  \* MERGEFORMAT </w:instrText>
          </w:r>
          <w:r>
            <w:fldChar w:fldCharType="separate"/>
          </w:r>
          <w:r w:rsidR="00E36395" w:rsidRPr="00E36395">
            <w:rPr>
              <w:b/>
            </w:rPr>
            <w:t>3</w:t>
          </w:r>
          <w:r>
            <w:fldChar w:fldCharType="end"/>
          </w:r>
          <w:r>
            <w:t>/</w:t>
          </w:r>
          <w:fldSimple w:instr=" NUMPAGES  \* MERGEFORMAT ">
            <w:r w:rsidR="00E36395" w:rsidRPr="00E36395">
              <w:rPr>
                <w:b/>
              </w:rPr>
              <w:t>3</w:t>
            </w:r>
          </w:fldSimple>
        </w:p>
      </w:tc>
    </w:tr>
  </w:tbl>
  <w:p w:rsidR="0086434F" w:rsidRDefault="008643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8B5"/>
    <w:multiLevelType w:val="hybridMultilevel"/>
    <w:tmpl w:val="B82011E0"/>
    <w:lvl w:ilvl="0" w:tplc="6EC03A22">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0E3CAD"/>
    <w:multiLevelType w:val="hybridMultilevel"/>
    <w:tmpl w:val="4468C8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57"/>
    <w:rsid w:val="000010C8"/>
    <w:rsid w:val="00012370"/>
    <w:rsid w:val="00132893"/>
    <w:rsid w:val="001512E7"/>
    <w:rsid w:val="001F557A"/>
    <w:rsid w:val="00282E71"/>
    <w:rsid w:val="00333428"/>
    <w:rsid w:val="003405A9"/>
    <w:rsid w:val="004C2530"/>
    <w:rsid w:val="005C4F3C"/>
    <w:rsid w:val="005E0E86"/>
    <w:rsid w:val="006450B5"/>
    <w:rsid w:val="0071437D"/>
    <w:rsid w:val="00732657"/>
    <w:rsid w:val="00795AFF"/>
    <w:rsid w:val="0081272C"/>
    <w:rsid w:val="008142F2"/>
    <w:rsid w:val="0086434F"/>
    <w:rsid w:val="00895151"/>
    <w:rsid w:val="0095377B"/>
    <w:rsid w:val="00985870"/>
    <w:rsid w:val="00A55F11"/>
    <w:rsid w:val="00A83925"/>
    <w:rsid w:val="00B44EEB"/>
    <w:rsid w:val="00BB1B97"/>
    <w:rsid w:val="00C32489"/>
    <w:rsid w:val="00DF0B8E"/>
    <w:rsid w:val="00E36395"/>
    <w:rsid w:val="00F51E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21BE22B6-99D9-45BF-B917-5DC42E94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FF"/>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5E0E86"/>
    <w:pPr>
      <w:tabs>
        <w:tab w:val="center" w:pos="4819"/>
        <w:tab w:val="right" w:pos="9638"/>
      </w:tabs>
    </w:pPr>
  </w:style>
  <w:style w:type="paragraph" w:styleId="Sidefod">
    <w:name w:val="footer"/>
    <w:basedOn w:val="Normal"/>
    <w:rsid w:val="005E0E86"/>
    <w:pPr>
      <w:tabs>
        <w:tab w:val="center" w:pos="4819"/>
        <w:tab w:val="right" w:pos="9638"/>
      </w:tabs>
    </w:pPr>
  </w:style>
  <w:style w:type="paragraph" w:customStyle="1" w:styleId="Faktalinier">
    <w:name w:val="Faktalinier"/>
    <w:basedOn w:val="Normal"/>
    <w:uiPriority w:val="99"/>
    <w:rsid w:val="0086434F"/>
    <w:pPr>
      <w:framePr w:w="1644" w:hSpace="142" w:vSpace="142" w:wrap="around" w:vAnchor="page" w:hAnchor="page" w:x="9753" w:y="5217"/>
      <w:pBdr>
        <w:between w:val="single" w:sz="2" w:space="1" w:color="auto"/>
      </w:pBdr>
      <w:spacing w:line="300" w:lineRule="exact"/>
      <w:jc w:val="right"/>
    </w:pPr>
    <w:rPr>
      <w:rFonts w:ascii="Arial" w:hAnsi="Arial"/>
      <w:noProof/>
      <w:sz w:val="16"/>
      <w:szCs w:val="20"/>
    </w:rPr>
  </w:style>
  <w:style w:type="table" w:styleId="Tabel-Gitter">
    <w:name w:val="Table Grid"/>
    <w:basedOn w:val="Tabel-Normal"/>
    <w:uiPriority w:val="99"/>
    <w:rsid w:val="009858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linier">
    <w:name w:val="Adresselinier"/>
    <w:basedOn w:val="Normal"/>
    <w:uiPriority w:val="99"/>
    <w:rsid w:val="00985870"/>
    <w:pPr>
      <w:framePr w:hSpace="142" w:vSpace="142" w:wrap="auto" w:vAnchor="page" w:hAnchor="page" w:x="5926" w:y="15253"/>
      <w:spacing w:line="170" w:lineRule="exact"/>
      <w:ind w:right="-1701"/>
    </w:pPr>
    <w:rPr>
      <w:rFonts w:ascii="Arial" w:hAnsi="Arial" w:cs="Arial"/>
      <w:noProof/>
      <w:color w:val="000000"/>
      <w:sz w:val="14"/>
      <w:szCs w:val="14"/>
    </w:rPr>
  </w:style>
  <w:style w:type="paragraph" w:customStyle="1" w:styleId="Adresselinie1">
    <w:name w:val="Adresselinie1"/>
    <w:basedOn w:val="Normal"/>
    <w:next w:val="Normal"/>
    <w:rsid w:val="00985870"/>
    <w:pPr>
      <w:framePr w:hSpace="142" w:vSpace="142" w:wrap="around" w:vAnchor="page" w:hAnchor="page" w:x="5926" w:y="15253"/>
      <w:spacing w:after="57" w:line="170" w:lineRule="exact"/>
      <w:ind w:right="-1701"/>
    </w:pPr>
    <w:rPr>
      <w:rFonts w:ascii="Arial" w:hAnsi="Arial"/>
      <w:b/>
      <w:noProof/>
      <w:color w:val="000000"/>
      <w:sz w:val="14"/>
      <w:szCs w:val="20"/>
    </w:rPr>
  </w:style>
  <w:style w:type="paragraph" w:styleId="Ingenafstand">
    <w:name w:val="No Spacing"/>
    <w:uiPriority w:val="1"/>
    <w:qFormat/>
    <w:rsid w:val="00985870"/>
    <w:rPr>
      <w:sz w:val="24"/>
      <w:szCs w:val="24"/>
    </w:rPr>
  </w:style>
  <w:style w:type="paragraph" w:styleId="Listeafsnit">
    <w:name w:val="List Paragraph"/>
    <w:basedOn w:val="Normal"/>
    <w:uiPriority w:val="34"/>
    <w:qFormat/>
    <w:rsid w:val="00C32489"/>
    <w:pPr>
      <w:ind w:left="720"/>
      <w:contextualSpacing/>
    </w:pPr>
  </w:style>
  <w:style w:type="paragraph" w:styleId="Markeringsbobletekst">
    <w:name w:val="Balloon Text"/>
    <w:basedOn w:val="Normal"/>
    <w:link w:val="MarkeringsbobletekstTegn"/>
    <w:semiHidden/>
    <w:unhideWhenUsed/>
    <w:rsid w:val="004C2530"/>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4C2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811</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Smal  Velfærdsstab 2  Velfærd  Vejle Kommune</dc:creator>
  <cp:lastModifiedBy>Tobias Smal  Velfærdsstab 2  Velfærd  Vejle Kommune</cp:lastModifiedBy>
  <cp:revision>14</cp:revision>
  <cp:lastPrinted>2020-01-20T07:30:00Z</cp:lastPrinted>
  <dcterms:created xsi:type="dcterms:W3CDTF">2020-01-19T07:44:00Z</dcterms:created>
  <dcterms:modified xsi:type="dcterms:W3CDTF">2020-01-27T09:08:00Z</dcterms:modified>
</cp:coreProperties>
</file>