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BC" w:rsidRPr="00DB1100" w:rsidRDefault="007E708E" w:rsidP="00DB1100">
      <w:pPr>
        <w:rPr>
          <w:szCs w:val="20"/>
          <w:lang w:val="kl-GL"/>
        </w:rPr>
      </w:pPr>
      <w:r>
        <w:rPr>
          <w:noProof/>
        </w:rPr>
        <w:drawing>
          <wp:inline distT="0" distB="0" distL="0" distR="0" wp14:anchorId="0B619AAB" wp14:editId="3A7741DA">
            <wp:extent cx="6115616" cy="9198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19" t="4684" r="1611" b="5198"/>
                    <a:stretch/>
                  </pic:blipFill>
                  <pic:spPr bwMode="auto">
                    <a:xfrm>
                      <a:off x="0" y="0"/>
                      <a:ext cx="6119038" cy="920390"/>
                    </a:xfrm>
                    <a:prstGeom prst="rect">
                      <a:avLst/>
                    </a:prstGeom>
                    <a:ln>
                      <a:noFill/>
                    </a:ln>
                    <a:extLst>
                      <a:ext uri="{53640926-AAD7-44D8-BBD7-CCE9431645EC}">
                        <a14:shadowObscured xmlns:a14="http://schemas.microsoft.com/office/drawing/2010/main"/>
                      </a:ext>
                    </a:extLst>
                  </pic:spPr>
                </pic:pic>
              </a:graphicData>
            </a:graphic>
          </wp:inline>
        </w:drawing>
      </w:r>
    </w:p>
    <w:p w:rsidR="005A6FBC" w:rsidRPr="00DB1100" w:rsidRDefault="005A6FBC" w:rsidP="00DB1100">
      <w:pPr>
        <w:rPr>
          <w:szCs w:val="20"/>
          <w:lang w:val="kl-GL"/>
        </w:rPr>
      </w:pPr>
    </w:p>
    <w:p w:rsidR="00DA4095" w:rsidRPr="00DB1100" w:rsidRDefault="00DA4095" w:rsidP="00DB1100">
      <w:pPr>
        <w:rPr>
          <w:b/>
          <w:szCs w:val="20"/>
          <w:lang w:val="kl-GL"/>
        </w:rPr>
      </w:pPr>
    </w:p>
    <w:p w:rsidR="00DA4095" w:rsidRPr="00D9518E" w:rsidRDefault="00E61335" w:rsidP="00DB1100">
      <w:pPr>
        <w:widowControl w:val="0"/>
        <w:autoSpaceDE w:val="0"/>
        <w:autoSpaceDN w:val="0"/>
        <w:adjustRightInd w:val="0"/>
        <w:jc w:val="right"/>
        <w:rPr>
          <w:szCs w:val="20"/>
          <w:lang w:val="kl-GL"/>
        </w:rPr>
      </w:pPr>
      <w:r>
        <w:rPr>
          <w:szCs w:val="20"/>
          <w:lang w:val="kl-GL"/>
        </w:rPr>
        <w:t>06</w:t>
      </w:r>
      <w:bookmarkStart w:id="0" w:name="_GoBack"/>
      <w:bookmarkEnd w:id="0"/>
      <w:r w:rsidR="003B2FE6">
        <w:rPr>
          <w:szCs w:val="20"/>
          <w:lang w:val="kl-GL"/>
        </w:rPr>
        <w:t>.12</w:t>
      </w:r>
      <w:r w:rsidR="00F2275C">
        <w:rPr>
          <w:szCs w:val="20"/>
          <w:lang w:val="kl-GL"/>
        </w:rPr>
        <w:t>. 2019</w:t>
      </w:r>
    </w:p>
    <w:p w:rsidR="00DA4095" w:rsidRPr="00D9518E" w:rsidRDefault="00DA4095" w:rsidP="00DB1100">
      <w:pPr>
        <w:widowControl w:val="0"/>
        <w:autoSpaceDE w:val="0"/>
        <w:autoSpaceDN w:val="0"/>
        <w:adjustRightInd w:val="0"/>
        <w:jc w:val="both"/>
        <w:rPr>
          <w:szCs w:val="20"/>
          <w:lang w:val="kl-GL"/>
        </w:rPr>
      </w:pPr>
    </w:p>
    <w:p w:rsidR="00DA4095" w:rsidRPr="00D9518E" w:rsidRDefault="00DA4095" w:rsidP="00DB1100">
      <w:pPr>
        <w:widowControl w:val="0"/>
        <w:autoSpaceDE w:val="0"/>
        <w:autoSpaceDN w:val="0"/>
        <w:adjustRightInd w:val="0"/>
        <w:jc w:val="both"/>
        <w:rPr>
          <w:b/>
          <w:szCs w:val="20"/>
          <w:lang w:val="kl-GL"/>
        </w:rPr>
      </w:pPr>
    </w:p>
    <w:p w:rsidR="00124272" w:rsidRDefault="00C17237" w:rsidP="005D783E">
      <w:pPr>
        <w:widowControl w:val="0"/>
        <w:autoSpaceDE w:val="0"/>
        <w:autoSpaceDN w:val="0"/>
        <w:adjustRightInd w:val="0"/>
        <w:rPr>
          <w:szCs w:val="20"/>
          <w:lang w:val="kl-GL"/>
        </w:rPr>
      </w:pPr>
      <w:r w:rsidRPr="00D9518E">
        <w:rPr>
          <w:szCs w:val="20"/>
          <w:lang w:val="kl-GL"/>
        </w:rPr>
        <w:t>I</w:t>
      </w:r>
      <w:r w:rsidR="00833CEC">
        <w:rPr>
          <w:szCs w:val="20"/>
          <w:lang w:val="kl-GL"/>
        </w:rPr>
        <w:t xml:space="preserve"> </w:t>
      </w:r>
      <w:r w:rsidR="00765149">
        <w:rPr>
          <w:szCs w:val="20"/>
          <w:lang w:val="kl-GL"/>
        </w:rPr>
        <w:t>medfør af</w:t>
      </w:r>
      <w:r w:rsidR="00833CEC">
        <w:rPr>
          <w:szCs w:val="20"/>
          <w:lang w:val="kl-GL"/>
        </w:rPr>
        <w:t xml:space="preserve"> </w:t>
      </w:r>
      <w:r w:rsidRPr="00D9518E">
        <w:rPr>
          <w:szCs w:val="20"/>
          <w:lang w:val="kl-GL"/>
        </w:rPr>
        <w:t>§ 37</w:t>
      </w:r>
      <w:r w:rsidR="00765149">
        <w:rPr>
          <w:szCs w:val="20"/>
          <w:lang w:val="kl-GL"/>
        </w:rPr>
        <w:t xml:space="preserve"> stk. 1</w:t>
      </w:r>
      <w:r w:rsidRPr="00D9518E">
        <w:rPr>
          <w:szCs w:val="20"/>
          <w:lang w:val="kl-GL"/>
        </w:rPr>
        <w:t xml:space="preserve"> </w:t>
      </w:r>
      <w:r w:rsidR="00833CEC">
        <w:rPr>
          <w:szCs w:val="20"/>
          <w:lang w:val="kl-GL"/>
        </w:rPr>
        <w:t>i Forretningsordenen for Inatsisartut, fremsætter jeg følgende spørgsmål til Naalakkersuisut</w:t>
      </w:r>
      <w:r w:rsidR="009370CE">
        <w:rPr>
          <w:szCs w:val="20"/>
          <w:lang w:val="kl-GL"/>
        </w:rPr>
        <w:t>:</w:t>
      </w:r>
    </w:p>
    <w:p w:rsidR="00765149" w:rsidRDefault="00765149" w:rsidP="005D783E">
      <w:pPr>
        <w:widowControl w:val="0"/>
        <w:autoSpaceDE w:val="0"/>
        <w:autoSpaceDN w:val="0"/>
        <w:adjustRightInd w:val="0"/>
        <w:rPr>
          <w:szCs w:val="20"/>
          <w:lang w:val="kl-GL"/>
        </w:rPr>
      </w:pPr>
    </w:p>
    <w:p w:rsidR="00765149" w:rsidRPr="00765149" w:rsidRDefault="00765149" w:rsidP="005D783E">
      <w:pPr>
        <w:widowControl w:val="0"/>
        <w:autoSpaceDE w:val="0"/>
        <w:autoSpaceDN w:val="0"/>
        <w:adjustRightInd w:val="0"/>
        <w:rPr>
          <w:b/>
          <w:szCs w:val="20"/>
          <w:lang w:val="kl-GL"/>
        </w:rPr>
      </w:pPr>
      <w:r w:rsidRPr="00765149">
        <w:rPr>
          <w:b/>
          <w:szCs w:val="20"/>
          <w:lang w:val="kl-GL"/>
        </w:rPr>
        <w:t>Spørgsmål til Naalakkersuisut:</w:t>
      </w:r>
    </w:p>
    <w:p w:rsidR="00F7264A" w:rsidRPr="00D9518E" w:rsidRDefault="00F7264A" w:rsidP="00DB1100">
      <w:pPr>
        <w:widowControl w:val="0"/>
        <w:autoSpaceDE w:val="0"/>
        <w:autoSpaceDN w:val="0"/>
        <w:adjustRightInd w:val="0"/>
        <w:jc w:val="both"/>
        <w:rPr>
          <w:b/>
          <w:szCs w:val="20"/>
          <w:lang w:val="kl-GL"/>
        </w:rPr>
      </w:pPr>
    </w:p>
    <w:p w:rsidR="00CE6CF7" w:rsidRDefault="00CE6CF7" w:rsidP="00CE6CF7">
      <w:pPr>
        <w:pStyle w:val="Listeafsnit"/>
        <w:numPr>
          <w:ilvl w:val="0"/>
          <w:numId w:val="12"/>
        </w:numPr>
        <w:rPr>
          <w:b/>
          <w:szCs w:val="20"/>
          <w:lang w:val="kl-GL"/>
        </w:rPr>
      </w:pPr>
      <w:r w:rsidRPr="00CE6CF7">
        <w:rPr>
          <w:b/>
          <w:szCs w:val="20"/>
          <w:lang w:val="kl-GL"/>
        </w:rPr>
        <w:t xml:space="preserve">Hvorfor blev ”anordning om ikrafttræden for Grønland af ændringer af lov om dansk indfødsret” (mod forventning) ikke optaget på dagsordenen for EM2019? </w:t>
      </w:r>
    </w:p>
    <w:p w:rsidR="00CE6CF7" w:rsidRPr="00CE6CF7" w:rsidRDefault="00CE6CF7" w:rsidP="00CE6CF7">
      <w:pPr>
        <w:pStyle w:val="Listeafsnit"/>
        <w:rPr>
          <w:b/>
          <w:szCs w:val="20"/>
          <w:lang w:val="kl-GL"/>
        </w:rPr>
      </w:pPr>
    </w:p>
    <w:p w:rsidR="00CE6CF7" w:rsidRDefault="00CE6CF7" w:rsidP="00CE6CF7">
      <w:pPr>
        <w:pStyle w:val="Listeafsnit"/>
        <w:numPr>
          <w:ilvl w:val="0"/>
          <w:numId w:val="12"/>
        </w:numPr>
        <w:rPr>
          <w:b/>
          <w:szCs w:val="20"/>
          <w:lang w:val="kl-GL"/>
        </w:rPr>
      </w:pPr>
      <w:r w:rsidRPr="00CE6CF7">
        <w:rPr>
          <w:b/>
          <w:szCs w:val="20"/>
          <w:lang w:val="kl-GL"/>
        </w:rPr>
        <w:t>Hvorfor blev udkastet til anordning først sendt i høring i juli 2019, når Udlændinge- og Integrationsministeriet tilsyneladende fremsendte udkastet i maj 2018?</w:t>
      </w:r>
    </w:p>
    <w:p w:rsidR="00CE6CF7" w:rsidRPr="00CE6CF7" w:rsidRDefault="00CE6CF7" w:rsidP="00CE6CF7">
      <w:pPr>
        <w:pStyle w:val="Listeafsnit"/>
        <w:rPr>
          <w:b/>
          <w:szCs w:val="20"/>
          <w:lang w:val="kl-GL"/>
        </w:rPr>
      </w:pPr>
    </w:p>
    <w:p w:rsidR="00CE6CF7" w:rsidRDefault="00CE6CF7" w:rsidP="00CE6CF7">
      <w:pPr>
        <w:pStyle w:val="Listeafsnit"/>
        <w:numPr>
          <w:ilvl w:val="0"/>
          <w:numId w:val="12"/>
        </w:numPr>
        <w:rPr>
          <w:b/>
          <w:szCs w:val="20"/>
          <w:lang w:val="kl-GL"/>
        </w:rPr>
      </w:pPr>
      <w:r w:rsidRPr="00CE6CF7">
        <w:rPr>
          <w:b/>
          <w:szCs w:val="20"/>
          <w:lang w:val="kl-GL"/>
        </w:rPr>
        <w:t xml:space="preserve"> Hvornår kan anordningen forventes at blive behandlet i Inatsisartut? </w:t>
      </w:r>
    </w:p>
    <w:p w:rsidR="00CE6CF7" w:rsidRPr="00CE6CF7" w:rsidRDefault="00CE6CF7" w:rsidP="00CE6CF7">
      <w:pPr>
        <w:pStyle w:val="Listeafsnit"/>
        <w:rPr>
          <w:b/>
          <w:szCs w:val="20"/>
          <w:lang w:val="kl-GL"/>
        </w:rPr>
      </w:pPr>
    </w:p>
    <w:p w:rsidR="00CE6CF7" w:rsidRPr="00CE6CF7" w:rsidRDefault="00CE6CF7" w:rsidP="00CE6CF7">
      <w:pPr>
        <w:pStyle w:val="Listeafsnit"/>
        <w:rPr>
          <w:b/>
          <w:szCs w:val="20"/>
          <w:lang w:val="kl-GL"/>
        </w:rPr>
      </w:pPr>
    </w:p>
    <w:p w:rsidR="00CE6CF7" w:rsidRPr="00CE6CF7" w:rsidRDefault="00CE6CF7" w:rsidP="00CE6CF7">
      <w:pPr>
        <w:pStyle w:val="Listeafsnit"/>
        <w:numPr>
          <w:ilvl w:val="0"/>
          <w:numId w:val="12"/>
        </w:numPr>
        <w:rPr>
          <w:b/>
          <w:szCs w:val="20"/>
          <w:lang w:val="kl-GL"/>
        </w:rPr>
      </w:pPr>
      <w:r w:rsidRPr="00CE6CF7">
        <w:rPr>
          <w:b/>
          <w:szCs w:val="20"/>
          <w:lang w:val="kl-GL"/>
        </w:rPr>
        <w:t xml:space="preserve">Kan Naalakkersuisut oplyse andet med relevans for nærværende emne og spørgsmål?   </w:t>
      </w:r>
    </w:p>
    <w:p w:rsidR="00CE6CF7" w:rsidRPr="00CE6CF7" w:rsidRDefault="00CE6CF7" w:rsidP="00CE6CF7">
      <w:pPr>
        <w:pStyle w:val="Listeafsnit"/>
        <w:rPr>
          <w:b/>
          <w:szCs w:val="20"/>
          <w:lang w:val="kl-GL"/>
        </w:rPr>
      </w:pPr>
    </w:p>
    <w:p w:rsidR="00EF4498" w:rsidRDefault="00EF4498" w:rsidP="00EF4498">
      <w:pPr>
        <w:rPr>
          <w:szCs w:val="20"/>
          <w:lang w:val="kl-GL"/>
        </w:rPr>
      </w:pPr>
    </w:p>
    <w:p w:rsidR="005D783E" w:rsidRPr="00EF4498" w:rsidRDefault="00EF4498" w:rsidP="00EF4498">
      <w:pPr>
        <w:rPr>
          <w:szCs w:val="20"/>
          <w:lang w:val="kl-GL"/>
        </w:rPr>
      </w:pPr>
      <w:r w:rsidRPr="00EF4498">
        <w:rPr>
          <w:szCs w:val="20"/>
          <w:lang w:val="kl-GL"/>
        </w:rPr>
        <w:t xml:space="preserve"> </w:t>
      </w:r>
      <w:r w:rsidR="005D783E" w:rsidRPr="00EF4498">
        <w:rPr>
          <w:szCs w:val="20"/>
          <w:lang w:val="kl-GL"/>
        </w:rPr>
        <w:t>(</w:t>
      </w:r>
      <w:r w:rsidR="003624A4" w:rsidRPr="00EF4498">
        <w:rPr>
          <w:szCs w:val="20"/>
          <w:lang w:val="kl-GL"/>
        </w:rPr>
        <w:t>Medlem af Inatsisartut</w:t>
      </w:r>
      <w:r w:rsidR="005D783E" w:rsidRPr="00EF4498">
        <w:rPr>
          <w:szCs w:val="20"/>
          <w:lang w:val="kl-GL"/>
        </w:rPr>
        <w:t xml:space="preserve"> </w:t>
      </w:r>
      <w:r w:rsidR="00CE6CF7">
        <w:rPr>
          <w:szCs w:val="20"/>
          <w:lang w:val="kl-GL"/>
        </w:rPr>
        <w:t>Aqqa Samuelsen</w:t>
      </w:r>
      <w:r w:rsidR="005D783E" w:rsidRPr="00EF4498">
        <w:rPr>
          <w:szCs w:val="20"/>
          <w:lang w:val="kl-GL"/>
        </w:rPr>
        <w:t>, Inuit Ataqatigiit)</w:t>
      </w:r>
    </w:p>
    <w:p w:rsidR="00125FD0" w:rsidRPr="00D9518E" w:rsidRDefault="00125FD0" w:rsidP="00125FD0">
      <w:pPr>
        <w:pStyle w:val="Listeafsnit"/>
        <w:rPr>
          <w:rFonts w:ascii="Verdana" w:hAnsi="Verdana" w:cs="Tahoma"/>
          <w:color w:val="000000"/>
          <w:sz w:val="20"/>
          <w:szCs w:val="20"/>
          <w:lang w:val="kl-GL"/>
        </w:rPr>
      </w:pPr>
    </w:p>
    <w:p w:rsidR="00895C02" w:rsidRPr="00D9518E" w:rsidRDefault="00895C02" w:rsidP="00DB1100">
      <w:pPr>
        <w:jc w:val="both"/>
        <w:rPr>
          <w:rFonts w:eastAsiaTheme="minorHAnsi"/>
          <w:b/>
          <w:szCs w:val="20"/>
          <w:lang w:val="kl-GL"/>
        </w:rPr>
      </w:pPr>
    </w:p>
    <w:p w:rsidR="00F7264A" w:rsidRPr="00D9518E" w:rsidRDefault="006071CD" w:rsidP="00DB1100">
      <w:pPr>
        <w:jc w:val="both"/>
        <w:rPr>
          <w:b/>
          <w:szCs w:val="20"/>
          <w:lang w:val="kl-GL"/>
        </w:rPr>
      </w:pPr>
      <w:r>
        <w:rPr>
          <w:b/>
          <w:szCs w:val="20"/>
          <w:lang w:val="kl-GL"/>
        </w:rPr>
        <w:t>Begrundelse</w:t>
      </w:r>
      <w:r w:rsidR="00646058" w:rsidRPr="00D9518E">
        <w:rPr>
          <w:b/>
          <w:szCs w:val="20"/>
          <w:lang w:val="kl-GL"/>
        </w:rPr>
        <w:t>:</w:t>
      </w:r>
    </w:p>
    <w:p w:rsidR="00627185" w:rsidRDefault="00627185" w:rsidP="00DB1100">
      <w:pPr>
        <w:jc w:val="both"/>
        <w:rPr>
          <w:rFonts w:cs="Tahoma"/>
          <w:color w:val="000000"/>
          <w:szCs w:val="20"/>
          <w:lang w:val="kl-GL"/>
        </w:rPr>
      </w:pPr>
    </w:p>
    <w:p w:rsidR="00CE6CF7" w:rsidRPr="00CE6CF7" w:rsidRDefault="00CE6CF7" w:rsidP="00CE6CF7">
      <w:pPr>
        <w:rPr>
          <w:rFonts w:cs="Tahoma"/>
          <w:i/>
          <w:color w:val="000000"/>
          <w:szCs w:val="20"/>
          <w:lang w:val="kl-GL"/>
        </w:rPr>
      </w:pPr>
      <w:r w:rsidRPr="00CE6CF7">
        <w:rPr>
          <w:rFonts w:cs="Tahoma"/>
          <w:color w:val="000000"/>
          <w:szCs w:val="20"/>
          <w:lang w:val="kl-GL"/>
        </w:rPr>
        <w:t xml:space="preserve">På høringsportalen blev der den 8. juli 2019 offentliggjort et udkast til </w:t>
      </w:r>
      <w:r w:rsidRPr="00CE6CF7">
        <w:rPr>
          <w:rFonts w:cs="Tahoma"/>
          <w:i/>
          <w:color w:val="000000"/>
          <w:szCs w:val="20"/>
          <w:lang w:val="kl-GL"/>
        </w:rPr>
        <w:t>”anordning om ikrafttræden for Grønland af ændring</w:t>
      </w:r>
      <w:r>
        <w:rPr>
          <w:rFonts w:cs="Tahoma"/>
          <w:i/>
          <w:color w:val="000000"/>
          <w:szCs w:val="20"/>
          <w:lang w:val="kl-GL"/>
        </w:rPr>
        <w:t>er af lov om dansk indfødsret”.</w:t>
      </w:r>
      <w:r>
        <w:rPr>
          <w:rStyle w:val="Slutnotehenvisning"/>
          <w:rFonts w:cs="Tahoma"/>
          <w:i/>
          <w:color w:val="000000"/>
          <w:szCs w:val="20"/>
          <w:lang w:val="kl-GL"/>
        </w:rPr>
        <w:endnoteReference w:id="1"/>
      </w:r>
      <w:r w:rsidRPr="00CE6CF7">
        <w:rPr>
          <w:rFonts w:cs="Tahoma"/>
          <w:i/>
          <w:color w:val="000000"/>
          <w:szCs w:val="20"/>
          <w:lang w:val="kl-GL"/>
        </w:rPr>
        <w:t xml:space="preserve"> </w:t>
      </w:r>
    </w:p>
    <w:p w:rsidR="00EF4498" w:rsidRDefault="00EF4498" w:rsidP="00DB1100">
      <w:pPr>
        <w:jc w:val="both"/>
        <w:rPr>
          <w:rFonts w:cs="Tahoma"/>
          <w:color w:val="000000"/>
          <w:szCs w:val="20"/>
          <w:lang w:val="kl-GL"/>
        </w:rPr>
      </w:pPr>
    </w:p>
    <w:p w:rsidR="00CE6CF7" w:rsidRPr="00CE6CF7" w:rsidRDefault="00CE6CF7" w:rsidP="00CE6CF7">
      <w:pPr>
        <w:jc w:val="both"/>
        <w:rPr>
          <w:szCs w:val="20"/>
          <w:lang w:val="kl-GL"/>
        </w:rPr>
      </w:pPr>
      <w:r w:rsidRPr="00CE6CF7">
        <w:rPr>
          <w:szCs w:val="20"/>
          <w:lang w:val="kl-GL"/>
        </w:rPr>
        <w:t xml:space="preserve">Indfødsretsloven er således blevet ændret flere gange, uden at ændringerne efterfølgende er blevet sat i kraft for Grønland. For Grønland er det således fortsat lovbekendtgørelse nr. 422 af 7. juni 2004 om dansk indfødsret, som senest ændret ved lov nr. 647 af 12. juni 2013, der gælder. </w:t>
      </w:r>
    </w:p>
    <w:p w:rsidR="00CE6CF7" w:rsidRPr="00CE6CF7" w:rsidRDefault="00CE6CF7" w:rsidP="00CE6CF7">
      <w:pPr>
        <w:jc w:val="both"/>
        <w:rPr>
          <w:szCs w:val="20"/>
          <w:lang w:val="kl-GL"/>
        </w:rPr>
      </w:pPr>
    </w:p>
    <w:p w:rsidR="00CE6CF7" w:rsidRPr="00CE6CF7" w:rsidRDefault="00CE6CF7" w:rsidP="00CE6CF7">
      <w:pPr>
        <w:jc w:val="both"/>
        <w:rPr>
          <w:szCs w:val="20"/>
          <w:lang w:val="kl-GL"/>
        </w:rPr>
      </w:pPr>
      <w:r w:rsidRPr="00CE6CF7">
        <w:rPr>
          <w:szCs w:val="20"/>
          <w:lang w:val="kl-GL"/>
        </w:rPr>
        <w:t xml:space="preserve">Som Udlændinge- og Integrationsministeriet også anfører, bør reglerne om statsborgerskab imidlertid af principielle og retlige grunde være de samme i hele riget. Hvilket altså ikke er tilfældet på nuværende tidspunkt, hvor (f.eks.) accept af dobbelt statsborgerskab endnu ikke gælder i Grønland. </w:t>
      </w:r>
    </w:p>
    <w:p w:rsidR="00CE6CF7" w:rsidRPr="00CE6CF7" w:rsidRDefault="00CE6CF7" w:rsidP="00CE6CF7">
      <w:pPr>
        <w:jc w:val="both"/>
        <w:rPr>
          <w:szCs w:val="20"/>
          <w:lang w:val="kl-GL"/>
        </w:rPr>
      </w:pPr>
    </w:p>
    <w:p w:rsidR="00CE6CF7" w:rsidRDefault="00CE6CF7" w:rsidP="00CE6CF7">
      <w:pPr>
        <w:jc w:val="both"/>
        <w:rPr>
          <w:szCs w:val="20"/>
          <w:lang w:val="kl-GL"/>
        </w:rPr>
      </w:pPr>
      <w:r w:rsidRPr="00CE6CF7">
        <w:rPr>
          <w:szCs w:val="20"/>
          <w:lang w:val="kl-GL"/>
        </w:rPr>
        <w:t>Det fremgik herunder af høringsmaterialet, at anordningen ville blive behandlet på Inatsisartuts efterårssamling. Men anordningen var desværre ikke at finde på dagsordenen, hvilket giver mig anledning til at spørge, hvorfor. Hvad er grunden til, at anordnin</w:t>
      </w:r>
      <w:r>
        <w:rPr>
          <w:szCs w:val="20"/>
          <w:lang w:val="kl-GL"/>
        </w:rPr>
        <w:t>gen ikke blev optaget på EM2019.</w:t>
      </w:r>
      <w:r>
        <w:rPr>
          <w:rStyle w:val="Slutnotehenvisning"/>
          <w:szCs w:val="20"/>
          <w:lang w:val="kl-GL"/>
        </w:rPr>
        <w:endnoteReference w:id="2"/>
      </w:r>
    </w:p>
    <w:p w:rsidR="00F2275C" w:rsidRDefault="00F2275C" w:rsidP="00CE6CF7">
      <w:pPr>
        <w:jc w:val="both"/>
        <w:rPr>
          <w:szCs w:val="20"/>
          <w:lang w:val="kl-GL"/>
        </w:rPr>
      </w:pPr>
    </w:p>
    <w:p w:rsidR="00F2275C" w:rsidRPr="00F2275C" w:rsidRDefault="00F2275C" w:rsidP="00F2275C">
      <w:pPr>
        <w:rPr>
          <w:szCs w:val="20"/>
          <w:lang w:val="kl-GL"/>
        </w:rPr>
      </w:pPr>
      <w:r w:rsidRPr="00F2275C">
        <w:rPr>
          <w:szCs w:val="20"/>
          <w:lang w:val="kl-GL"/>
        </w:rPr>
        <w:t xml:space="preserve">Dette baseret på oplysninger fra Departementet for Råstoffer og Arbejdsmarked. Anordningen har dermed efterhånden været ganske længe undervejs, hvorfor jeg også vil være interesseret i årsagen til forsinkelsen. </w:t>
      </w:r>
    </w:p>
    <w:p w:rsidR="00F2275C" w:rsidRPr="00CE6CF7" w:rsidRDefault="00F2275C" w:rsidP="00CE6CF7">
      <w:pPr>
        <w:jc w:val="both"/>
        <w:rPr>
          <w:szCs w:val="20"/>
          <w:lang w:val="kl-GL"/>
        </w:rPr>
      </w:pPr>
    </w:p>
    <w:p w:rsidR="00CE6CF7" w:rsidRPr="00CE6CF7" w:rsidRDefault="00CE6CF7" w:rsidP="00CE6CF7">
      <w:pPr>
        <w:jc w:val="both"/>
        <w:rPr>
          <w:szCs w:val="20"/>
          <w:lang w:val="kl-GL"/>
        </w:rPr>
      </w:pPr>
    </w:p>
    <w:p w:rsidR="00656D9B" w:rsidRDefault="00610855" w:rsidP="00DB1100">
      <w:pPr>
        <w:jc w:val="both"/>
        <w:rPr>
          <w:szCs w:val="20"/>
          <w:lang w:val="kl-GL"/>
        </w:rPr>
      </w:pPr>
      <w:r>
        <w:rPr>
          <w:szCs w:val="20"/>
          <w:lang w:val="kl-GL"/>
        </w:rPr>
        <w:t xml:space="preserve">Jeg ønsker at mine spørgsmål bliver besvaret inden for 10 arbejdsdage </w:t>
      </w:r>
    </w:p>
    <w:p w:rsidR="00656D9B" w:rsidRDefault="00656D9B" w:rsidP="00DB1100">
      <w:pPr>
        <w:jc w:val="both"/>
        <w:rPr>
          <w:szCs w:val="20"/>
          <w:lang w:val="kl-GL"/>
        </w:rPr>
      </w:pPr>
    </w:p>
    <w:p w:rsidR="00656D9B" w:rsidRPr="00656D9B" w:rsidRDefault="00656D9B" w:rsidP="00DB1100">
      <w:pPr>
        <w:jc w:val="both"/>
        <w:rPr>
          <w:szCs w:val="20"/>
          <w:lang w:val="kl-GL"/>
        </w:rPr>
      </w:pPr>
    </w:p>
    <w:sectPr w:rsidR="00656D9B" w:rsidRPr="00656D9B" w:rsidSect="00DB1100">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263" w:rsidRDefault="00777263">
      <w:r>
        <w:separator/>
      </w:r>
    </w:p>
  </w:endnote>
  <w:endnote w:type="continuationSeparator" w:id="0">
    <w:p w:rsidR="00777263" w:rsidRDefault="00777263">
      <w:r>
        <w:continuationSeparator/>
      </w:r>
    </w:p>
  </w:endnote>
  <w:endnote w:id="1">
    <w:p w:rsidR="00CE6CF7" w:rsidRPr="00CE6CF7" w:rsidRDefault="00CE6CF7">
      <w:pPr>
        <w:pStyle w:val="Slutnotetekst"/>
      </w:pPr>
      <w:r w:rsidRPr="00CE6CF7">
        <w:rPr>
          <w:rStyle w:val="Slutnotehenvisning"/>
        </w:rPr>
        <w:endnoteRef/>
      </w:r>
      <w:r w:rsidRPr="00CE6CF7">
        <w:t xml:space="preserve"> </w:t>
      </w:r>
      <w:hyperlink r:id="rId1" w:history="1">
        <w:r w:rsidRPr="00CE6CF7">
          <w:rPr>
            <w:rStyle w:val="Hyperlink"/>
          </w:rPr>
          <w:t>https://naalakkersuisut.gl/da/H%c3%b8ringer/Arkiv-over-h%c3%b8ringer/2019/dansk-indfoedtsret</w:t>
        </w:r>
      </w:hyperlink>
    </w:p>
    <w:p w:rsidR="00CE6CF7" w:rsidRPr="00CE6CF7" w:rsidRDefault="00CE6CF7">
      <w:pPr>
        <w:pStyle w:val="Slutnotetekst"/>
      </w:pPr>
    </w:p>
    <w:p w:rsidR="00CE6CF7" w:rsidRPr="00CE6CF7" w:rsidRDefault="00CE6CF7">
      <w:pPr>
        <w:pStyle w:val="Slutnotetekst"/>
      </w:pPr>
    </w:p>
  </w:endnote>
  <w:endnote w:id="2">
    <w:p w:rsidR="00CE6CF7" w:rsidRPr="00CE6CF7" w:rsidRDefault="00CE6CF7">
      <w:pPr>
        <w:pStyle w:val="Slutnotetekst"/>
      </w:pPr>
      <w:r w:rsidRPr="00CE6CF7">
        <w:rPr>
          <w:rStyle w:val="Slutnotehenvisning"/>
        </w:rPr>
        <w:endnoteRef/>
      </w:r>
      <w:r w:rsidRPr="00CE6CF7">
        <w:t xml:space="preserve"> Besvarelse af spørgsmål nr. 3 til L 81 den 9. november 2018. </w:t>
      </w:r>
    </w:p>
    <w:p w:rsidR="00CE6CF7" w:rsidRPr="00CE6CF7" w:rsidRDefault="00E61335">
      <w:pPr>
        <w:pStyle w:val="Slutnotetekst"/>
      </w:pPr>
      <w:hyperlink r:id="rId2" w:history="1">
        <w:r w:rsidR="00CE6CF7" w:rsidRPr="00CE6CF7">
          <w:rPr>
            <w:rStyle w:val="Hyperlink"/>
          </w:rPr>
          <w:t>https://www.ft.dk/samling/20181/lovforslag/L81/spm/3/svar/1528084/1966723.pdf</w:t>
        </w:r>
      </w:hyperlink>
    </w:p>
    <w:p w:rsidR="00CE6CF7" w:rsidRDefault="00CE6CF7">
      <w:pPr>
        <w:pStyle w:val="Slutnote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2923A5" w:rsidRDefault="002923A5" w:rsidP="00F5213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E61335">
      <w:rPr>
        <w:rStyle w:val="Sidetal"/>
        <w:noProof/>
      </w:rPr>
      <w:t>2</w:t>
    </w:r>
    <w:r>
      <w:rPr>
        <w:rStyle w:val="Sidetal"/>
      </w:rPr>
      <w:fldChar w:fldCharType="end"/>
    </w:r>
  </w:p>
  <w:p w:rsidR="002923A5" w:rsidRDefault="002923A5" w:rsidP="00F5213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263" w:rsidRDefault="00777263">
      <w:r>
        <w:separator/>
      </w:r>
    </w:p>
  </w:footnote>
  <w:footnote w:type="continuationSeparator" w:id="0">
    <w:p w:rsidR="00777263" w:rsidRDefault="00777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41BBD"/>
    <w:multiLevelType w:val="hybridMultilevel"/>
    <w:tmpl w:val="0BD8B56C"/>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1" w15:restartNumberingAfterBreak="0">
    <w:nsid w:val="1DFB5B5D"/>
    <w:multiLevelType w:val="hybridMultilevel"/>
    <w:tmpl w:val="8196F866"/>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2" w15:restartNumberingAfterBreak="0">
    <w:nsid w:val="27A10381"/>
    <w:multiLevelType w:val="hybridMultilevel"/>
    <w:tmpl w:val="26DE5F54"/>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3" w15:restartNumberingAfterBreak="0">
    <w:nsid w:val="288665A4"/>
    <w:multiLevelType w:val="hybridMultilevel"/>
    <w:tmpl w:val="FF0057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72197F"/>
    <w:multiLevelType w:val="hybridMultilevel"/>
    <w:tmpl w:val="95987472"/>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5" w15:restartNumberingAfterBreak="0">
    <w:nsid w:val="3D9F3C0F"/>
    <w:multiLevelType w:val="hybridMultilevel"/>
    <w:tmpl w:val="C220C3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4CDC5263"/>
    <w:multiLevelType w:val="hybridMultilevel"/>
    <w:tmpl w:val="D50471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ED17060"/>
    <w:multiLevelType w:val="hybridMultilevel"/>
    <w:tmpl w:val="CEE6E41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5BDC4767"/>
    <w:multiLevelType w:val="hybridMultilevel"/>
    <w:tmpl w:val="2506A5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9" w15:restartNumberingAfterBreak="0">
    <w:nsid w:val="78146AE0"/>
    <w:multiLevelType w:val="hybridMultilevel"/>
    <w:tmpl w:val="A6323D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8B80B68"/>
    <w:multiLevelType w:val="hybridMultilevel"/>
    <w:tmpl w:val="985EF7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5"/>
  </w:num>
  <w:num w:numId="5">
    <w:abstractNumId w:val="1"/>
  </w:num>
  <w:num w:numId="6">
    <w:abstractNumId w:val="6"/>
  </w:num>
  <w:num w:numId="7">
    <w:abstractNumId w:val="2"/>
  </w:num>
  <w:num w:numId="8">
    <w:abstractNumId w:val="4"/>
  </w:num>
  <w:num w:numId="9">
    <w:abstractNumId w:val="7"/>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3D"/>
    <w:rsid w:val="00014A5A"/>
    <w:rsid w:val="00041E9D"/>
    <w:rsid w:val="0005273A"/>
    <w:rsid w:val="00066053"/>
    <w:rsid w:val="00077251"/>
    <w:rsid w:val="000B3BB7"/>
    <w:rsid w:val="000C1C3C"/>
    <w:rsid w:val="000C3EC1"/>
    <w:rsid w:val="000C4781"/>
    <w:rsid w:val="00110165"/>
    <w:rsid w:val="00110A14"/>
    <w:rsid w:val="00124272"/>
    <w:rsid w:val="00125FD0"/>
    <w:rsid w:val="00132F4E"/>
    <w:rsid w:val="00145B95"/>
    <w:rsid w:val="0016505F"/>
    <w:rsid w:val="00175ABE"/>
    <w:rsid w:val="001965E7"/>
    <w:rsid w:val="001B2424"/>
    <w:rsid w:val="001D7C21"/>
    <w:rsid w:val="001E4AE4"/>
    <w:rsid w:val="001E7BD0"/>
    <w:rsid w:val="001F4B72"/>
    <w:rsid w:val="00235F35"/>
    <w:rsid w:val="00244A75"/>
    <w:rsid w:val="00262E47"/>
    <w:rsid w:val="00276ABD"/>
    <w:rsid w:val="002923A5"/>
    <w:rsid w:val="002C595C"/>
    <w:rsid w:val="002D0A0E"/>
    <w:rsid w:val="002E42EF"/>
    <w:rsid w:val="00312E9F"/>
    <w:rsid w:val="0033376F"/>
    <w:rsid w:val="00340029"/>
    <w:rsid w:val="00350701"/>
    <w:rsid w:val="003624A4"/>
    <w:rsid w:val="003626DD"/>
    <w:rsid w:val="003666CC"/>
    <w:rsid w:val="00391027"/>
    <w:rsid w:val="003B2FE6"/>
    <w:rsid w:val="003D7EBF"/>
    <w:rsid w:val="003F1C4D"/>
    <w:rsid w:val="004157BE"/>
    <w:rsid w:val="00437935"/>
    <w:rsid w:val="00447557"/>
    <w:rsid w:val="00471B19"/>
    <w:rsid w:val="00484A4C"/>
    <w:rsid w:val="00497B08"/>
    <w:rsid w:val="004A1476"/>
    <w:rsid w:val="004E20D4"/>
    <w:rsid w:val="005014A0"/>
    <w:rsid w:val="00512FEA"/>
    <w:rsid w:val="0053518E"/>
    <w:rsid w:val="00547A4C"/>
    <w:rsid w:val="005523DF"/>
    <w:rsid w:val="00575039"/>
    <w:rsid w:val="005758D4"/>
    <w:rsid w:val="005A6FBC"/>
    <w:rsid w:val="005D340B"/>
    <w:rsid w:val="005D783E"/>
    <w:rsid w:val="006071CD"/>
    <w:rsid w:val="00610855"/>
    <w:rsid w:val="00612D11"/>
    <w:rsid w:val="0061407E"/>
    <w:rsid w:val="00627185"/>
    <w:rsid w:val="00631EE9"/>
    <w:rsid w:val="00633B3E"/>
    <w:rsid w:val="006347A4"/>
    <w:rsid w:val="00643FF3"/>
    <w:rsid w:val="00646058"/>
    <w:rsid w:val="00652539"/>
    <w:rsid w:val="00656D9B"/>
    <w:rsid w:val="006856ED"/>
    <w:rsid w:val="00686872"/>
    <w:rsid w:val="006B347E"/>
    <w:rsid w:val="006C2DDB"/>
    <w:rsid w:val="006E2104"/>
    <w:rsid w:val="006F26EA"/>
    <w:rsid w:val="00700BA5"/>
    <w:rsid w:val="007158F4"/>
    <w:rsid w:val="00727A6E"/>
    <w:rsid w:val="00740DB3"/>
    <w:rsid w:val="00744F00"/>
    <w:rsid w:val="00765149"/>
    <w:rsid w:val="00777263"/>
    <w:rsid w:val="007B38FA"/>
    <w:rsid w:val="007B49C6"/>
    <w:rsid w:val="007B4A6A"/>
    <w:rsid w:val="007B6C80"/>
    <w:rsid w:val="007C5D99"/>
    <w:rsid w:val="007D64D1"/>
    <w:rsid w:val="007D7042"/>
    <w:rsid w:val="007E39B3"/>
    <w:rsid w:val="007E708E"/>
    <w:rsid w:val="007F3E9E"/>
    <w:rsid w:val="00803093"/>
    <w:rsid w:val="00804550"/>
    <w:rsid w:val="008066BA"/>
    <w:rsid w:val="00810D01"/>
    <w:rsid w:val="0081413C"/>
    <w:rsid w:val="00814C80"/>
    <w:rsid w:val="00833CEC"/>
    <w:rsid w:val="00835F9D"/>
    <w:rsid w:val="00837C8F"/>
    <w:rsid w:val="00841036"/>
    <w:rsid w:val="008466EB"/>
    <w:rsid w:val="0087183D"/>
    <w:rsid w:val="00877432"/>
    <w:rsid w:val="00885C81"/>
    <w:rsid w:val="0089286E"/>
    <w:rsid w:val="00895C02"/>
    <w:rsid w:val="00906BE4"/>
    <w:rsid w:val="00920F70"/>
    <w:rsid w:val="009231BE"/>
    <w:rsid w:val="00930873"/>
    <w:rsid w:val="009370CE"/>
    <w:rsid w:val="00956A89"/>
    <w:rsid w:val="00971230"/>
    <w:rsid w:val="00972D62"/>
    <w:rsid w:val="00974064"/>
    <w:rsid w:val="00991329"/>
    <w:rsid w:val="00993509"/>
    <w:rsid w:val="009B18D6"/>
    <w:rsid w:val="009C079B"/>
    <w:rsid w:val="009C4CCC"/>
    <w:rsid w:val="009C5458"/>
    <w:rsid w:val="00A1624A"/>
    <w:rsid w:val="00A23E09"/>
    <w:rsid w:val="00A34437"/>
    <w:rsid w:val="00A42C18"/>
    <w:rsid w:val="00A44366"/>
    <w:rsid w:val="00A734FF"/>
    <w:rsid w:val="00A77DBA"/>
    <w:rsid w:val="00A87CA0"/>
    <w:rsid w:val="00A95D2D"/>
    <w:rsid w:val="00AA5E9E"/>
    <w:rsid w:val="00AB33E1"/>
    <w:rsid w:val="00AD15B1"/>
    <w:rsid w:val="00AD7BF5"/>
    <w:rsid w:val="00AF0E91"/>
    <w:rsid w:val="00B00186"/>
    <w:rsid w:val="00B00382"/>
    <w:rsid w:val="00B069D1"/>
    <w:rsid w:val="00B11517"/>
    <w:rsid w:val="00B40C11"/>
    <w:rsid w:val="00B43EA5"/>
    <w:rsid w:val="00B46260"/>
    <w:rsid w:val="00B57972"/>
    <w:rsid w:val="00B74036"/>
    <w:rsid w:val="00B7597E"/>
    <w:rsid w:val="00B845E8"/>
    <w:rsid w:val="00BA13A7"/>
    <w:rsid w:val="00BB2528"/>
    <w:rsid w:val="00BE1DCB"/>
    <w:rsid w:val="00C00E7E"/>
    <w:rsid w:val="00C11274"/>
    <w:rsid w:val="00C170E5"/>
    <w:rsid w:val="00C17237"/>
    <w:rsid w:val="00C4796F"/>
    <w:rsid w:val="00C511D6"/>
    <w:rsid w:val="00C730AC"/>
    <w:rsid w:val="00CA32D2"/>
    <w:rsid w:val="00CC407D"/>
    <w:rsid w:val="00CE6CF7"/>
    <w:rsid w:val="00D0691F"/>
    <w:rsid w:val="00D63FB2"/>
    <w:rsid w:val="00D66E0F"/>
    <w:rsid w:val="00D71CF8"/>
    <w:rsid w:val="00D806D8"/>
    <w:rsid w:val="00D9518E"/>
    <w:rsid w:val="00DA4095"/>
    <w:rsid w:val="00DA4D1B"/>
    <w:rsid w:val="00DB1100"/>
    <w:rsid w:val="00DC13D1"/>
    <w:rsid w:val="00DC467F"/>
    <w:rsid w:val="00DC5969"/>
    <w:rsid w:val="00E5512C"/>
    <w:rsid w:val="00E61335"/>
    <w:rsid w:val="00E917E8"/>
    <w:rsid w:val="00EB3179"/>
    <w:rsid w:val="00EF28AA"/>
    <w:rsid w:val="00EF4498"/>
    <w:rsid w:val="00EF7958"/>
    <w:rsid w:val="00F2275C"/>
    <w:rsid w:val="00F332B0"/>
    <w:rsid w:val="00F508D0"/>
    <w:rsid w:val="00F5213D"/>
    <w:rsid w:val="00F53665"/>
    <w:rsid w:val="00F60765"/>
    <w:rsid w:val="00F63D96"/>
    <w:rsid w:val="00F7264A"/>
    <w:rsid w:val="00F87267"/>
    <w:rsid w:val="00F911BC"/>
    <w:rsid w:val="00FA1F28"/>
    <w:rsid w:val="00FB15E8"/>
    <w:rsid w:val="00FB7FE4"/>
    <w:rsid w:val="00FC247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E9E2B6"/>
  <w15:docId w15:val="{23ED1368-6DEE-4F60-B90B-19C4185A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F5213D"/>
    <w:pPr>
      <w:tabs>
        <w:tab w:val="center" w:pos="4819"/>
        <w:tab w:val="right" w:pos="9638"/>
      </w:tabs>
    </w:pPr>
  </w:style>
  <w:style w:type="character" w:styleId="Sidetal">
    <w:name w:val="page number"/>
    <w:basedOn w:val="Standardskrifttypeiafsnit"/>
    <w:rsid w:val="00F5213D"/>
  </w:style>
  <w:style w:type="paragraph" w:customStyle="1" w:styleId="Standard">
    <w:name w:val="Standard"/>
    <w:rsid w:val="00312E9F"/>
    <w:pPr>
      <w:suppressAutoHyphens/>
      <w:autoSpaceDN w:val="0"/>
    </w:pPr>
    <w:rPr>
      <w:rFonts w:ascii="Verdana" w:eastAsia="SimSun" w:hAnsi="Verdana" w:cs="Mangal"/>
      <w:kern w:val="3"/>
      <w:sz w:val="24"/>
      <w:szCs w:val="24"/>
      <w:lang w:bidi="hi-IN"/>
    </w:rPr>
  </w:style>
  <w:style w:type="paragraph" w:styleId="Listeafsnit">
    <w:name w:val="List Paragraph"/>
    <w:basedOn w:val="Normal"/>
    <w:uiPriority w:val="34"/>
    <w:qFormat/>
    <w:rsid w:val="00841036"/>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646058"/>
    <w:rPr>
      <w:rFonts w:ascii="Times New Roman" w:eastAsia="Calibri" w:hAnsi="Times New Roman"/>
      <w:sz w:val="24"/>
    </w:rPr>
  </w:style>
  <w:style w:type="character" w:styleId="Strk">
    <w:name w:val="Strong"/>
    <w:uiPriority w:val="22"/>
    <w:qFormat/>
    <w:rsid w:val="00646058"/>
    <w:rPr>
      <w:b/>
      <w:bCs/>
    </w:rPr>
  </w:style>
  <w:style w:type="paragraph" w:styleId="Almindeligtekst">
    <w:name w:val="Plain Text"/>
    <w:basedOn w:val="Normal"/>
    <w:link w:val="AlmindeligtekstTegn"/>
    <w:uiPriority w:val="99"/>
    <w:unhideWhenUsed/>
    <w:rsid w:val="00EF28AA"/>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rsid w:val="00EF28AA"/>
    <w:rPr>
      <w:rFonts w:ascii="Calibri" w:eastAsiaTheme="minorHAnsi" w:hAnsi="Calibri" w:cstheme="minorBidi"/>
      <w:sz w:val="22"/>
      <w:szCs w:val="21"/>
      <w:lang w:eastAsia="en-US"/>
    </w:rPr>
  </w:style>
  <w:style w:type="paragraph" w:styleId="Markeringsbobletekst">
    <w:name w:val="Balloon Text"/>
    <w:basedOn w:val="Normal"/>
    <w:link w:val="MarkeringsbobletekstTegn"/>
    <w:rsid w:val="007E708E"/>
    <w:rPr>
      <w:rFonts w:ascii="Tahoma" w:hAnsi="Tahoma" w:cs="Tahoma"/>
      <w:sz w:val="16"/>
      <w:szCs w:val="16"/>
    </w:rPr>
  </w:style>
  <w:style w:type="character" w:customStyle="1" w:styleId="MarkeringsbobletekstTegn">
    <w:name w:val="Markeringsbobletekst Tegn"/>
    <w:basedOn w:val="Standardskrifttypeiafsnit"/>
    <w:link w:val="Markeringsbobletekst"/>
    <w:rsid w:val="007E708E"/>
    <w:rPr>
      <w:rFonts w:ascii="Tahoma" w:hAnsi="Tahoma" w:cs="Tahoma"/>
      <w:sz w:val="16"/>
      <w:szCs w:val="16"/>
    </w:rPr>
  </w:style>
  <w:style w:type="paragraph" w:styleId="Slutnotetekst">
    <w:name w:val="endnote text"/>
    <w:basedOn w:val="Normal"/>
    <w:link w:val="SlutnotetekstTegn"/>
    <w:semiHidden/>
    <w:unhideWhenUsed/>
    <w:rsid w:val="00CE6CF7"/>
    <w:rPr>
      <w:szCs w:val="20"/>
    </w:rPr>
  </w:style>
  <w:style w:type="character" w:customStyle="1" w:styleId="SlutnotetekstTegn">
    <w:name w:val="Slutnotetekst Tegn"/>
    <w:basedOn w:val="Standardskrifttypeiafsnit"/>
    <w:link w:val="Slutnotetekst"/>
    <w:semiHidden/>
    <w:rsid w:val="00CE6CF7"/>
    <w:rPr>
      <w:rFonts w:ascii="Verdana" w:hAnsi="Verdana"/>
    </w:rPr>
  </w:style>
  <w:style w:type="character" w:styleId="Slutnotehenvisning">
    <w:name w:val="endnote reference"/>
    <w:basedOn w:val="Standardskrifttypeiafsnit"/>
    <w:semiHidden/>
    <w:unhideWhenUsed/>
    <w:rsid w:val="00CE6CF7"/>
    <w:rPr>
      <w:vertAlign w:val="superscript"/>
    </w:rPr>
  </w:style>
  <w:style w:type="character" w:styleId="Hyperlink">
    <w:name w:val="Hyperlink"/>
    <w:basedOn w:val="Standardskrifttypeiafsnit"/>
    <w:unhideWhenUsed/>
    <w:rsid w:val="00CE6CF7"/>
    <w:rPr>
      <w:color w:val="0000FF" w:themeColor="hyperlink"/>
      <w:u w:val="single"/>
    </w:rPr>
  </w:style>
  <w:style w:type="paragraph" w:styleId="Fodnotetekst">
    <w:name w:val="footnote text"/>
    <w:basedOn w:val="Normal"/>
    <w:link w:val="FodnotetekstTegn"/>
    <w:semiHidden/>
    <w:unhideWhenUsed/>
    <w:rsid w:val="00CE6CF7"/>
    <w:rPr>
      <w:szCs w:val="20"/>
    </w:rPr>
  </w:style>
  <w:style w:type="character" w:customStyle="1" w:styleId="FodnotetekstTegn">
    <w:name w:val="Fodnotetekst Tegn"/>
    <w:basedOn w:val="Standardskrifttypeiafsnit"/>
    <w:link w:val="Fodnotetekst"/>
    <w:semiHidden/>
    <w:rsid w:val="00CE6CF7"/>
    <w:rPr>
      <w:rFonts w:ascii="Verdana" w:hAnsi="Verdana"/>
    </w:rPr>
  </w:style>
  <w:style w:type="character" w:styleId="Fodnotehenvisning">
    <w:name w:val="footnote reference"/>
    <w:basedOn w:val="Standardskrifttypeiafsnit"/>
    <w:semiHidden/>
    <w:unhideWhenUsed/>
    <w:rsid w:val="00CE6C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7613">
      <w:bodyDiv w:val="1"/>
      <w:marLeft w:val="0"/>
      <w:marRight w:val="0"/>
      <w:marTop w:val="0"/>
      <w:marBottom w:val="0"/>
      <w:divBdr>
        <w:top w:val="none" w:sz="0" w:space="0" w:color="auto"/>
        <w:left w:val="none" w:sz="0" w:space="0" w:color="auto"/>
        <w:bottom w:val="none" w:sz="0" w:space="0" w:color="auto"/>
        <w:right w:val="none" w:sz="0" w:space="0" w:color="auto"/>
      </w:divBdr>
    </w:div>
    <w:div w:id="563294734">
      <w:bodyDiv w:val="1"/>
      <w:marLeft w:val="0"/>
      <w:marRight w:val="0"/>
      <w:marTop w:val="0"/>
      <w:marBottom w:val="0"/>
      <w:divBdr>
        <w:top w:val="none" w:sz="0" w:space="0" w:color="auto"/>
        <w:left w:val="none" w:sz="0" w:space="0" w:color="auto"/>
        <w:bottom w:val="none" w:sz="0" w:space="0" w:color="auto"/>
        <w:right w:val="none" w:sz="0" w:space="0" w:color="auto"/>
      </w:divBdr>
    </w:div>
    <w:div w:id="768818532">
      <w:bodyDiv w:val="1"/>
      <w:marLeft w:val="0"/>
      <w:marRight w:val="0"/>
      <w:marTop w:val="0"/>
      <w:marBottom w:val="0"/>
      <w:divBdr>
        <w:top w:val="none" w:sz="0" w:space="0" w:color="auto"/>
        <w:left w:val="none" w:sz="0" w:space="0" w:color="auto"/>
        <w:bottom w:val="none" w:sz="0" w:space="0" w:color="auto"/>
        <w:right w:val="none" w:sz="0" w:space="0" w:color="auto"/>
      </w:divBdr>
    </w:div>
    <w:div w:id="927155019">
      <w:bodyDiv w:val="1"/>
      <w:marLeft w:val="0"/>
      <w:marRight w:val="0"/>
      <w:marTop w:val="0"/>
      <w:marBottom w:val="0"/>
      <w:divBdr>
        <w:top w:val="none" w:sz="0" w:space="0" w:color="auto"/>
        <w:left w:val="none" w:sz="0" w:space="0" w:color="auto"/>
        <w:bottom w:val="none" w:sz="0" w:space="0" w:color="auto"/>
        <w:right w:val="none" w:sz="0" w:space="0" w:color="auto"/>
      </w:divBdr>
    </w:div>
    <w:div w:id="977419463">
      <w:bodyDiv w:val="1"/>
      <w:marLeft w:val="0"/>
      <w:marRight w:val="0"/>
      <w:marTop w:val="0"/>
      <w:marBottom w:val="0"/>
      <w:divBdr>
        <w:top w:val="none" w:sz="0" w:space="0" w:color="auto"/>
        <w:left w:val="none" w:sz="0" w:space="0" w:color="auto"/>
        <w:bottom w:val="none" w:sz="0" w:space="0" w:color="auto"/>
        <w:right w:val="none" w:sz="0" w:space="0" w:color="auto"/>
      </w:divBdr>
    </w:div>
    <w:div w:id="1034114446">
      <w:bodyDiv w:val="1"/>
      <w:marLeft w:val="0"/>
      <w:marRight w:val="0"/>
      <w:marTop w:val="0"/>
      <w:marBottom w:val="0"/>
      <w:divBdr>
        <w:top w:val="none" w:sz="0" w:space="0" w:color="auto"/>
        <w:left w:val="none" w:sz="0" w:space="0" w:color="auto"/>
        <w:bottom w:val="none" w:sz="0" w:space="0" w:color="auto"/>
        <w:right w:val="none" w:sz="0" w:space="0" w:color="auto"/>
      </w:divBdr>
    </w:div>
    <w:div w:id="1167399214">
      <w:bodyDiv w:val="1"/>
      <w:marLeft w:val="0"/>
      <w:marRight w:val="0"/>
      <w:marTop w:val="0"/>
      <w:marBottom w:val="0"/>
      <w:divBdr>
        <w:top w:val="none" w:sz="0" w:space="0" w:color="auto"/>
        <w:left w:val="none" w:sz="0" w:space="0" w:color="auto"/>
        <w:bottom w:val="none" w:sz="0" w:space="0" w:color="auto"/>
        <w:right w:val="none" w:sz="0" w:space="0" w:color="auto"/>
      </w:divBdr>
    </w:div>
    <w:div w:id="1197042234">
      <w:bodyDiv w:val="1"/>
      <w:marLeft w:val="0"/>
      <w:marRight w:val="0"/>
      <w:marTop w:val="0"/>
      <w:marBottom w:val="0"/>
      <w:divBdr>
        <w:top w:val="none" w:sz="0" w:space="0" w:color="auto"/>
        <w:left w:val="none" w:sz="0" w:space="0" w:color="auto"/>
        <w:bottom w:val="none" w:sz="0" w:space="0" w:color="auto"/>
        <w:right w:val="none" w:sz="0" w:space="0" w:color="auto"/>
      </w:divBdr>
    </w:div>
    <w:div w:id="1266620851">
      <w:bodyDiv w:val="1"/>
      <w:marLeft w:val="0"/>
      <w:marRight w:val="0"/>
      <w:marTop w:val="0"/>
      <w:marBottom w:val="0"/>
      <w:divBdr>
        <w:top w:val="none" w:sz="0" w:space="0" w:color="auto"/>
        <w:left w:val="none" w:sz="0" w:space="0" w:color="auto"/>
        <w:bottom w:val="none" w:sz="0" w:space="0" w:color="auto"/>
        <w:right w:val="none" w:sz="0" w:space="0" w:color="auto"/>
      </w:divBdr>
    </w:div>
    <w:div w:id="1377194685">
      <w:bodyDiv w:val="1"/>
      <w:marLeft w:val="0"/>
      <w:marRight w:val="0"/>
      <w:marTop w:val="0"/>
      <w:marBottom w:val="0"/>
      <w:divBdr>
        <w:top w:val="none" w:sz="0" w:space="0" w:color="auto"/>
        <w:left w:val="none" w:sz="0" w:space="0" w:color="auto"/>
        <w:bottom w:val="none" w:sz="0" w:space="0" w:color="auto"/>
        <w:right w:val="none" w:sz="0" w:space="0" w:color="auto"/>
      </w:divBdr>
    </w:div>
    <w:div w:id="1494948903">
      <w:bodyDiv w:val="1"/>
      <w:marLeft w:val="0"/>
      <w:marRight w:val="0"/>
      <w:marTop w:val="0"/>
      <w:marBottom w:val="0"/>
      <w:divBdr>
        <w:top w:val="none" w:sz="0" w:space="0" w:color="auto"/>
        <w:left w:val="none" w:sz="0" w:space="0" w:color="auto"/>
        <w:bottom w:val="none" w:sz="0" w:space="0" w:color="auto"/>
        <w:right w:val="none" w:sz="0" w:space="0" w:color="auto"/>
      </w:divBdr>
    </w:div>
    <w:div w:id="1653368734">
      <w:bodyDiv w:val="1"/>
      <w:marLeft w:val="0"/>
      <w:marRight w:val="0"/>
      <w:marTop w:val="0"/>
      <w:marBottom w:val="0"/>
      <w:divBdr>
        <w:top w:val="none" w:sz="0" w:space="0" w:color="auto"/>
        <w:left w:val="none" w:sz="0" w:space="0" w:color="auto"/>
        <w:bottom w:val="none" w:sz="0" w:space="0" w:color="auto"/>
        <w:right w:val="none" w:sz="0" w:space="0" w:color="auto"/>
      </w:divBdr>
    </w:div>
    <w:div w:id="1670211133">
      <w:bodyDiv w:val="1"/>
      <w:marLeft w:val="0"/>
      <w:marRight w:val="0"/>
      <w:marTop w:val="0"/>
      <w:marBottom w:val="0"/>
      <w:divBdr>
        <w:top w:val="none" w:sz="0" w:space="0" w:color="auto"/>
        <w:left w:val="none" w:sz="0" w:space="0" w:color="auto"/>
        <w:bottom w:val="none" w:sz="0" w:space="0" w:color="auto"/>
        <w:right w:val="none" w:sz="0" w:space="0" w:color="auto"/>
      </w:divBdr>
    </w:div>
    <w:div w:id="1720587528">
      <w:bodyDiv w:val="1"/>
      <w:marLeft w:val="0"/>
      <w:marRight w:val="0"/>
      <w:marTop w:val="0"/>
      <w:marBottom w:val="0"/>
      <w:divBdr>
        <w:top w:val="none" w:sz="0" w:space="0" w:color="auto"/>
        <w:left w:val="none" w:sz="0" w:space="0" w:color="auto"/>
        <w:bottom w:val="none" w:sz="0" w:space="0" w:color="auto"/>
        <w:right w:val="none" w:sz="0" w:space="0" w:color="auto"/>
      </w:divBdr>
    </w:div>
    <w:div w:id="1828278725">
      <w:bodyDiv w:val="1"/>
      <w:marLeft w:val="0"/>
      <w:marRight w:val="0"/>
      <w:marTop w:val="0"/>
      <w:marBottom w:val="0"/>
      <w:divBdr>
        <w:top w:val="none" w:sz="0" w:space="0" w:color="auto"/>
        <w:left w:val="none" w:sz="0" w:space="0" w:color="auto"/>
        <w:bottom w:val="none" w:sz="0" w:space="0" w:color="auto"/>
        <w:right w:val="none" w:sz="0" w:space="0" w:color="auto"/>
      </w:divBdr>
    </w:div>
    <w:div w:id="18666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ft.dk/samling/20181/lovforslag/L81/spm/3/svar/1528084/1966723.pdf" TargetMode="External"/><Relationship Id="rId1" Type="http://schemas.openxmlformats.org/officeDocument/2006/relationships/hyperlink" Target="https://naalakkersuisut.gl/da/H%c3%b8ringer/Arkiv-over-h%c3%b8ringer/2019/dansk-indfoedtsre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6378D-CBCB-4D5E-966B-FC7CC5CD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NO</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HAPA</dc:creator>
  <cp:lastModifiedBy>David Lynge Frederiksen</cp:lastModifiedBy>
  <cp:revision>5</cp:revision>
  <cp:lastPrinted>2013-11-29T17:33:00Z</cp:lastPrinted>
  <dcterms:created xsi:type="dcterms:W3CDTF">2019-11-26T17:32:00Z</dcterms:created>
  <dcterms:modified xsi:type="dcterms:W3CDTF">2019-12-06T16:49:00Z</dcterms:modified>
</cp:coreProperties>
</file>