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FBC" w:rsidRPr="00DB1100" w:rsidRDefault="007E708E" w:rsidP="00DB1100">
      <w:pPr>
        <w:rPr>
          <w:szCs w:val="20"/>
          <w:lang w:val="kl-GL"/>
        </w:rPr>
      </w:pPr>
      <w:r>
        <w:rPr>
          <w:noProof/>
        </w:rPr>
        <w:drawing>
          <wp:inline distT="0" distB="0" distL="0" distR="0" wp14:anchorId="0B619AAB" wp14:editId="3A7741DA">
            <wp:extent cx="6115616" cy="9198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19" t="4684" r="1611" b="5198"/>
                    <a:stretch/>
                  </pic:blipFill>
                  <pic:spPr bwMode="auto">
                    <a:xfrm>
                      <a:off x="0" y="0"/>
                      <a:ext cx="6119038" cy="920390"/>
                    </a:xfrm>
                    <a:prstGeom prst="rect">
                      <a:avLst/>
                    </a:prstGeom>
                    <a:ln>
                      <a:noFill/>
                    </a:ln>
                    <a:extLst>
                      <a:ext uri="{53640926-AAD7-44D8-BBD7-CCE9431645EC}">
                        <a14:shadowObscured xmlns:a14="http://schemas.microsoft.com/office/drawing/2010/main"/>
                      </a:ext>
                    </a:extLst>
                  </pic:spPr>
                </pic:pic>
              </a:graphicData>
            </a:graphic>
          </wp:inline>
        </w:drawing>
      </w:r>
    </w:p>
    <w:p w:rsidR="005A6FBC" w:rsidRPr="00DB1100" w:rsidRDefault="005A6FBC" w:rsidP="00DB1100">
      <w:pPr>
        <w:rPr>
          <w:szCs w:val="20"/>
          <w:lang w:val="kl-GL"/>
        </w:rPr>
      </w:pPr>
    </w:p>
    <w:p w:rsidR="00DA4095" w:rsidRPr="00DB1100" w:rsidRDefault="00DA4095" w:rsidP="00DB1100">
      <w:pPr>
        <w:rPr>
          <w:b/>
          <w:szCs w:val="20"/>
          <w:lang w:val="kl-GL"/>
        </w:rPr>
      </w:pPr>
    </w:p>
    <w:p w:rsidR="00DA4095" w:rsidRPr="00D9518E" w:rsidRDefault="00BF4733" w:rsidP="00DB1100">
      <w:pPr>
        <w:widowControl w:val="0"/>
        <w:autoSpaceDE w:val="0"/>
        <w:autoSpaceDN w:val="0"/>
        <w:adjustRightInd w:val="0"/>
        <w:jc w:val="right"/>
        <w:rPr>
          <w:szCs w:val="20"/>
          <w:lang w:val="kl-GL"/>
        </w:rPr>
      </w:pPr>
      <w:r>
        <w:rPr>
          <w:szCs w:val="20"/>
          <w:lang w:val="kl-GL"/>
        </w:rPr>
        <w:t>1</w:t>
      </w:r>
      <w:r w:rsidR="00046FF7">
        <w:rPr>
          <w:szCs w:val="20"/>
          <w:lang w:val="kl-GL"/>
        </w:rPr>
        <w:t>6</w:t>
      </w:r>
      <w:bookmarkStart w:id="0" w:name="_GoBack"/>
      <w:bookmarkEnd w:id="0"/>
      <w:r>
        <w:rPr>
          <w:szCs w:val="20"/>
          <w:lang w:val="kl-GL"/>
        </w:rPr>
        <w:t>. september 2019</w:t>
      </w:r>
    </w:p>
    <w:p w:rsidR="00DA4095" w:rsidRPr="00D9518E" w:rsidRDefault="00DA4095" w:rsidP="00DB1100">
      <w:pPr>
        <w:widowControl w:val="0"/>
        <w:autoSpaceDE w:val="0"/>
        <w:autoSpaceDN w:val="0"/>
        <w:adjustRightInd w:val="0"/>
        <w:jc w:val="both"/>
        <w:rPr>
          <w:szCs w:val="20"/>
          <w:lang w:val="kl-GL"/>
        </w:rPr>
      </w:pPr>
    </w:p>
    <w:p w:rsidR="00DA4095" w:rsidRPr="00D9518E" w:rsidRDefault="00DA4095" w:rsidP="00DB1100">
      <w:pPr>
        <w:widowControl w:val="0"/>
        <w:autoSpaceDE w:val="0"/>
        <w:autoSpaceDN w:val="0"/>
        <w:adjustRightInd w:val="0"/>
        <w:jc w:val="both"/>
        <w:rPr>
          <w:b/>
          <w:szCs w:val="20"/>
          <w:lang w:val="kl-GL"/>
        </w:rPr>
      </w:pPr>
    </w:p>
    <w:p w:rsidR="00124272" w:rsidRDefault="00C17237" w:rsidP="005D783E">
      <w:pPr>
        <w:widowControl w:val="0"/>
        <w:autoSpaceDE w:val="0"/>
        <w:autoSpaceDN w:val="0"/>
        <w:adjustRightInd w:val="0"/>
        <w:rPr>
          <w:szCs w:val="20"/>
          <w:lang w:val="kl-GL"/>
        </w:rPr>
      </w:pPr>
      <w:r w:rsidRPr="00D9518E">
        <w:rPr>
          <w:szCs w:val="20"/>
          <w:lang w:val="kl-GL"/>
        </w:rPr>
        <w:t>I</w:t>
      </w:r>
      <w:r w:rsidR="00833CEC">
        <w:rPr>
          <w:szCs w:val="20"/>
          <w:lang w:val="kl-GL"/>
        </w:rPr>
        <w:t xml:space="preserve"> </w:t>
      </w:r>
      <w:r w:rsidR="00765149">
        <w:rPr>
          <w:szCs w:val="20"/>
          <w:lang w:val="kl-GL"/>
        </w:rPr>
        <w:t>medfør af</w:t>
      </w:r>
      <w:r w:rsidR="00833CEC">
        <w:rPr>
          <w:szCs w:val="20"/>
          <w:lang w:val="kl-GL"/>
        </w:rPr>
        <w:t xml:space="preserve"> </w:t>
      </w:r>
      <w:r w:rsidRPr="00D9518E">
        <w:rPr>
          <w:szCs w:val="20"/>
          <w:lang w:val="kl-GL"/>
        </w:rPr>
        <w:t>§ 37</w:t>
      </w:r>
      <w:r w:rsidR="00765149">
        <w:rPr>
          <w:szCs w:val="20"/>
          <w:lang w:val="kl-GL"/>
        </w:rPr>
        <w:t xml:space="preserve"> stk. 1</w:t>
      </w:r>
      <w:r w:rsidRPr="00D9518E">
        <w:rPr>
          <w:szCs w:val="20"/>
          <w:lang w:val="kl-GL"/>
        </w:rPr>
        <w:t xml:space="preserve"> </w:t>
      </w:r>
      <w:r w:rsidR="00833CEC">
        <w:rPr>
          <w:szCs w:val="20"/>
          <w:lang w:val="kl-GL"/>
        </w:rPr>
        <w:t>i Forretningsordenen for Inatsisartut, fremsætter jeg følgende spørgsmål til Naalakkersuisut</w:t>
      </w:r>
      <w:r w:rsidR="009370CE">
        <w:rPr>
          <w:szCs w:val="20"/>
          <w:lang w:val="kl-GL"/>
        </w:rPr>
        <w:t>:</w:t>
      </w:r>
    </w:p>
    <w:p w:rsidR="00765149" w:rsidRDefault="00765149" w:rsidP="005D783E">
      <w:pPr>
        <w:widowControl w:val="0"/>
        <w:autoSpaceDE w:val="0"/>
        <w:autoSpaceDN w:val="0"/>
        <w:adjustRightInd w:val="0"/>
        <w:rPr>
          <w:szCs w:val="20"/>
          <w:lang w:val="kl-GL"/>
        </w:rPr>
      </w:pPr>
    </w:p>
    <w:p w:rsidR="00765149" w:rsidRPr="00765149" w:rsidRDefault="00765149" w:rsidP="005D783E">
      <w:pPr>
        <w:widowControl w:val="0"/>
        <w:autoSpaceDE w:val="0"/>
        <w:autoSpaceDN w:val="0"/>
        <w:adjustRightInd w:val="0"/>
        <w:rPr>
          <w:b/>
          <w:szCs w:val="20"/>
          <w:lang w:val="kl-GL"/>
        </w:rPr>
      </w:pPr>
      <w:r w:rsidRPr="00765149">
        <w:rPr>
          <w:b/>
          <w:szCs w:val="20"/>
          <w:lang w:val="kl-GL"/>
        </w:rPr>
        <w:t>Spørgsmål til Naalakkersuisut:</w:t>
      </w:r>
    </w:p>
    <w:p w:rsidR="00F7264A" w:rsidRPr="00D9518E" w:rsidRDefault="00F7264A" w:rsidP="00DB1100">
      <w:pPr>
        <w:widowControl w:val="0"/>
        <w:autoSpaceDE w:val="0"/>
        <w:autoSpaceDN w:val="0"/>
        <w:adjustRightInd w:val="0"/>
        <w:jc w:val="both"/>
        <w:rPr>
          <w:b/>
          <w:szCs w:val="20"/>
          <w:lang w:val="kl-GL"/>
        </w:rPr>
      </w:pPr>
    </w:p>
    <w:p w:rsidR="00EF4498" w:rsidRPr="00F20283" w:rsidRDefault="00BF4733" w:rsidP="00BF4733">
      <w:pPr>
        <w:pStyle w:val="Listeafsnit"/>
        <w:numPr>
          <w:ilvl w:val="0"/>
          <w:numId w:val="12"/>
        </w:numPr>
        <w:contextualSpacing w:val="0"/>
        <w:rPr>
          <w:rFonts w:ascii="Verdana" w:hAnsi="Verdana"/>
          <w:b/>
          <w:sz w:val="20"/>
          <w:szCs w:val="20"/>
          <w:lang w:val="kl-GL"/>
        </w:rPr>
      </w:pPr>
      <w:r w:rsidRPr="00F20283">
        <w:rPr>
          <w:rFonts w:ascii="Verdana" w:hAnsi="Verdana"/>
          <w:b/>
          <w:sz w:val="20"/>
          <w:szCs w:val="20"/>
          <w:lang w:val="kl-GL"/>
        </w:rPr>
        <w:t xml:space="preserve">I svaret på §37_152/2019, spm. 2, skriver Naalakkersuisut at, </w:t>
      </w:r>
      <w:r w:rsidRPr="00F20283">
        <w:rPr>
          <w:rFonts w:ascii="Verdana" w:hAnsi="Verdana"/>
          <w:b/>
          <w:i/>
          <w:sz w:val="20"/>
          <w:szCs w:val="20"/>
          <w:lang w:val="kl-GL"/>
        </w:rPr>
        <w:t>“Både gennemsnitsstørrelsen i landingerne, fangstmængde pr krog baseret på fiskernes egne logbøger, og biologiske undersøgelser med trawl og garn, peger på at bestanden er reduceret i størrelse i perioden. Når bestanden reduceres betyder det, at der er færre af de store og gamle fisk tilbage i bestanden og derfor falder størrelsen af de fisk, der landes. Da fiskeriet i de kvotefrie zoner bidrager til det samlede fiskeri i hele Diskobugten, er fiskeriet i de kvotefrie områder derfor en medvirkende faktor til den generelle nedgang i bestanden.”</w:t>
      </w:r>
      <w:r w:rsidRPr="00F20283">
        <w:rPr>
          <w:rFonts w:ascii="Verdana" w:hAnsi="Verdana"/>
          <w:b/>
          <w:i/>
          <w:sz w:val="20"/>
          <w:szCs w:val="20"/>
          <w:lang w:val="kl-GL"/>
        </w:rPr>
        <w:br/>
      </w:r>
      <w:r w:rsidRPr="00F20283">
        <w:rPr>
          <w:rFonts w:ascii="Verdana" w:hAnsi="Verdana"/>
          <w:b/>
          <w:i/>
          <w:sz w:val="20"/>
          <w:szCs w:val="20"/>
          <w:lang w:val="kl-GL"/>
        </w:rPr>
        <w:br/>
      </w:r>
      <w:r w:rsidRPr="00F20283">
        <w:rPr>
          <w:rFonts w:ascii="Verdana" w:hAnsi="Verdana"/>
          <w:b/>
          <w:sz w:val="20"/>
          <w:szCs w:val="20"/>
          <w:lang w:val="kl-GL"/>
        </w:rPr>
        <w:t xml:space="preserve">Derudover skriver Naalakkersuisut i en pressemeddelelse så sent som den 7. August 2019, at, </w:t>
      </w:r>
      <w:r w:rsidRPr="00F20283">
        <w:rPr>
          <w:rFonts w:ascii="Verdana" w:hAnsi="Verdana"/>
          <w:b/>
          <w:i/>
          <w:sz w:val="20"/>
          <w:szCs w:val="20"/>
        </w:rPr>
        <w:t>“...</w:t>
      </w:r>
      <w:proofErr w:type="spellStart"/>
      <w:r w:rsidRPr="00F20283">
        <w:rPr>
          <w:rFonts w:ascii="Verdana" w:hAnsi="Verdana"/>
          <w:b/>
          <w:i/>
          <w:sz w:val="20"/>
          <w:szCs w:val="20"/>
        </w:rPr>
        <w:t>Naalakkersuisut</w:t>
      </w:r>
      <w:proofErr w:type="spellEnd"/>
      <w:r w:rsidRPr="00F20283">
        <w:rPr>
          <w:rFonts w:ascii="Verdana" w:hAnsi="Verdana"/>
          <w:b/>
          <w:i/>
          <w:sz w:val="20"/>
          <w:szCs w:val="20"/>
        </w:rPr>
        <w:t xml:space="preserve"> fastsatte forrige år, at hellefiskekvoterne i forvaltningsområderne </w:t>
      </w:r>
      <w:proofErr w:type="spellStart"/>
      <w:r w:rsidRPr="00F20283">
        <w:rPr>
          <w:rFonts w:ascii="Verdana" w:hAnsi="Verdana"/>
          <w:b/>
          <w:i/>
          <w:sz w:val="20"/>
          <w:szCs w:val="20"/>
        </w:rPr>
        <w:t>Diskobugten</w:t>
      </w:r>
      <w:proofErr w:type="spellEnd"/>
      <w:r w:rsidRPr="00F20283">
        <w:rPr>
          <w:rFonts w:ascii="Verdana" w:hAnsi="Verdana"/>
          <w:b/>
          <w:i/>
          <w:sz w:val="20"/>
          <w:szCs w:val="20"/>
        </w:rPr>
        <w:t xml:space="preserve"> og Upernavik skal indledes en trinvis tilpasning af TAC, over en fireårig periode, til den videnskabelige rådgivning.”</w:t>
      </w:r>
      <w:r w:rsidRPr="00F20283">
        <w:rPr>
          <w:rFonts w:ascii="Verdana" w:hAnsi="Verdana"/>
          <w:b/>
          <w:i/>
          <w:sz w:val="20"/>
          <w:szCs w:val="20"/>
        </w:rPr>
        <w:br/>
      </w:r>
      <w:r w:rsidRPr="00F20283">
        <w:rPr>
          <w:rFonts w:ascii="Verdana" w:hAnsi="Verdana"/>
          <w:b/>
          <w:i/>
          <w:sz w:val="20"/>
          <w:szCs w:val="20"/>
        </w:rPr>
        <w:br/>
      </w:r>
      <w:r w:rsidR="00367CA5" w:rsidRPr="00F20283">
        <w:rPr>
          <w:rFonts w:ascii="Verdana" w:hAnsi="Verdana"/>
          <w:b/>
          <w:sz w:val="20"/>
          <w:szCs w:val="20"/>
        </w:rPr>
        <w:t xml:space="preserve">- Hvorfor besluttede </w:t>
      </w:r>
      <w:proofErr w:type="spellStart"/>
      <w:r w:rsidR="00367CA5" w:rsidRPr="00F20283">
        <w:rPr>
          <w:rFonts w:ascii="Verdana" w:hAnsi="Verdana"/>
          <w:b/>
          <w:sz w:val="20"/>
          <w:szCs w:val="20"/>
        </w:rPr>
        <w:t>Naalakkersuisut</w:t>
      </w:r>
      <w:proofErr w:type="spellEnd"/>
      <w:r w:rsidR="00367CA5" w:rsidRPr="00F20283">
        <w:rPr>
          <w:rFonts w:ascii="Verdana" w:hAnsi="Verdana"/>
          <w:b/>
          <w:sz w:val="20"/>
          <w:szCs w:val="20"/>
        </w:rPr>
        <w:t xml:space="preserve"> </w:t>
      </w:r>
      <w:r w:rsidR="00F20283">
        <w:rPr>
          <w:rFonts w:ascii="Verdana" w:hAnsi="Verdana"/>
          <w:b/>
          <w:sz w:val="20"/>
          <w:szCs w:val="20"/>
        </w:rPr>
        <w:t xml:space="preserve">så </w:t>
      </w:r>
      <w:r w:rsidR="00367CA5" w:rsidRPr="00F20283">
        <w:rPr>
          <w:rFonts w:ascii="Verdana" w:hAnsi="Verdana"/>
          <w:b/>
          <w:sz w:val="20"/>
          <w:szCs w:val="20"/>
        </w:rPr>
        <w:t xml:space="preserve">den 6. september 2019 at forhøje hellefiskekvoten  i det indenskærs fiskeri i </w:t>
      </w:r>
      <w:proofErr w:type="spellStart"/>
      <w:r w:rsidR="00367CA5" w:rsidRPr="00F20283">
        <w:rPr>
          <w:rFonts w:ascii="Verdana" w:hAnsi="Verdana"/>
          <w:b/>
          <w:sz w:val="20"/>
          <w:szCs w:val="20"/>
        </w:rPr>
        <w:t>Diskobugten</w:t>
      </w:r>
      <w:proofErr w:type="spellEnd"/>
      <w:r w:rsidR="00367CA5" w:rsidRPr="00F20283">
        <w:rPr>
          <w:rFonts w:ascii="Verdana" w:hAnsi="Verdana"/>
          <w:b/>
          <w:sz w:val="20"/>
          <w:szCs w:val="20"/>
        </w:rPr>
        <w:t xml:space="preserve"> med 2.400 tons, således at den efterfølgende vil være 5.460 tons højere end den videnskabelige rådgivning? </w:t>
      </w:r>
    </w:p>
    <w:p w:rsidR="00FC68CC" w:rsidRPr="00F20283" w:rsidRDefault="00367CA5" w:rsidP="00367CA5">
      <w:pPr>
        <w:pStyle w:val="Listeafsnit"/>
        <w:numPr>
          <w:ilvl w:val="0"/>
          <w:numId w:val="12"/>
        </w:numPr>
        <w:contextualSpacing w:val="0"/>
        <w:rPr>
          <w:rFonts w:ascii="Verdana" w:hAnsi="Verdana"/>
          <w:b/>
          <w:sz w:val="20"/>
          <w:szCs w:val="20"/>
          <w:lang w:val="kl-GL"/>
        </w:rPr>
      </w:pPr>
      <w:r w:rsidRPr="00F20283">
        <w:rPr>
          <w:rFonts w:ascii="Verdana" w:hAnsi="Verdana"/>
          <w:b/>
          <w:sz w:val="20"/>
          <w:szCs w:val="20"/>
          <w:lang w:val="kl-GL"/>
        </w:rPr>
        <w:t>Hvilken konsekvens vil det få for MSC mærkningen af hellefisk generelt i Grønland, men i særdeleshed på hellefisk ved Diskobugten fanget i Diskobugten, at der nu bliver fisket på en kvote</w:t>
      </w:r>
      <w:r w:rsidR="00F20283">
        <w:rPr>
          <w:rFonts w:ascii="Verdana" w:hAnsi="Verdana"/>
          <w:b/>
          <w:sz w:val="20"/>
          <w:szCs w:val="20"/>
          <w:lang w:val="kl-GL"/>
        </w:rPr>
        <w:t xml:space="preserve"> i Diskobugten</w:t>
      </w:r>
      <w:r w:rsidRPr="00F20283">
        <w:rPr>
          <w:rFonts w:ascii="Verdana" w:hAnsi="Verdana"/>
          <w:b/>
          <w:sz w:val="20"/>
          <w:szCs w:val="20"/>
          <w:lang w:val="kl-GL"/>
        </w:rPr>
        <w:t xml:space="preserve">, der ligger 5.460 tons højere end den videnskabelige rådgivning? </w:t>
      </w:r>
    </w:p>
    <w:p w:rsidR="00367CA5" w:rsidRPr="00F20283" w:rsidRDefault="00FC68CC" w:rsidP="00FC68CC">
      <w:pPr>
        <w:pStyle w:val="Listeafsnit"/>
        <w:numPr>
          <w:ilvl w:val="0"/>
          <w:numId w:val="12"/>
        </w:numPr>
        <w:contextualSpacing w:val="0"/>
        <w:rPr>
          <w:rFonts w:ascii="Verdana" w:hAnsi="Verdana"/>
          <w:b/>
          <w:sz w:val="20"/>
          <w:szCs w:val="20"/>
          <w:lang w:val="kl-GL"/>
        </w:rPr>
      </w:pPr>
      <w:r w:rsidRPr="00F20283">
        <w:rPr>
          <w:rFonts w:ascii="Verdana" w:hAnsi="Verdana"/>
          <w:b/>
          <w:sz w:val="20"/>
          <w:szCs w:val="20"/>
        </w:rPr>
        <w:t>På siden</w:t>
      </w:r>
      <w:r w:rsidR="00F20283">
        <w:rPr>
          <w:rFonts w:ascii="Verdana" w:hAnsi="Verdana"/>
          <w:b/>
          <w:sz w:val="20"/>
          <w:szCs w:val="20"/>
        </w:rPr>
        <w:t>:</w:t>
      </w:r>
      <w:r w:rsidRPr="00F20283">
        <w:rPr>
          <w:rFonts w:ascii="Verdana" w:hAnsi="Verdana"/>
          <w:b/>
          <w:sz w:val="20"/>
          <w:szCs w:val="20"/>
        </w:rPr>
        <w:t xml:space="preserve"> </w:t>
      </w:r>
      <w:hyperlink r:id="rId9" w:history="1">
        <w:r w:rsidRPr="00F20283">
          <w:rPr>
            <w:rStyle w:val="Hyperlink"/>
            <w:rFonts w:ascii="Verdana" w:hAnsi="Verdana"/>
            <w:b/>
            <w:sz w:val="20"/>
            <w:szCs w:val="20"/>
          </w:rPr>
          <w:t>https://naalakkersuisut.gl/da/Naalakkersuisut/Departementer/Fiskeri-Fangst-og-Landbrug/Fiskeriafdelingen/TAC-og-kvoter</w:t>
        </w:r>
      </w:hyperlink>
      <w:r w:rsidRPr="00F20283">
        <w:rPr>
          <w:rFonts w:ascii="Verdana" w:hAnsi="Verdana"/>
          <w:b/>
          <w:sz w:val="20"/>
          <w:szCs w:val="20"/>
        </w:rPr>
        <w:t xml:space="preserve"> står blandt andet, at: </w:t>
      </w:r>
      <w:r w:rsidRPr="00F20283">
        <w:rPr>
          <w:rFonts w:ascii="Verdana" w:hAnsi="Verdana"/>
          <w:b/>
          <w:i/>
          <w:sz w:val="20"/>
          <w:szCs w:val="20"/>
        </w:rPr>
        <w:t>”V</w:t>
      </w:r>
      <w:r w:rsidR="00367CA5" w:rsidRPr="00F20283">
        <w:rPr>
          <w:rFonts w:ascii="Verdana" w:hAnsi="Verdana"/>
          <w:b/>
          <w:i/>
          <w:sz w:val="20"/>
          <w:szCs w:val="20"/>
        </w:rPr>
        <w:t xml:space="preserve">ed udnyttelsen af vores levende ressourcer lægger </w:t>
      </w:r>
      <w:proofErr w:type="spellStart"/>
      <w:r w:rsidR="00367CA5" w:rsidRPr="00F20283">
        <w:rPr>
          <w:rFonts w:ascii="Verdana" w:hAnsi="Verdana"/>
          <w:b/>
          <w:i/>
          <w:sz w:val="20"/>
          <w:szCs w:val="20"/>
        </w:rPr>
        <w:t>Naalakkersuisut</w:t>
      </w:r>
      <w:proofErr w:type="spellEnd"/>
      <w:r w:rsidR="00367CA5" w:rsidRPr="00F20283">
        <w:rPr>
          <w:rFonts w:ascii="Verdana" w:hAnsi="Verdana"/>
          <w:b/>
          <w:i/>
          <w:sz w:val="20"/>
          <w:szCs w:val="20"/>
        </w:rPr>
        <w:t xml:space="preserve"> vægt på, at udnyttelsen sker på et bæredygtigt grundlag. Her kommer forvaltningen af fiskeressourcerne ind ved bl.a. kvotefastsættelser</w:t>
      </w:r>
      <w:r w:rsidR="00367CA5" w:rsidRPr="00F20283">
        <w:rPr>
          <w:rFonts w:ascii="Verdana" w:hAnsi="Verdana"/>
          <w:b/>
          <w:i/>
          <w:sz w:val="20"/>
          <w:szCs w:val="20"/>
          <w:shd w:val="clear" w:color="auto" w:fill="F0F7F9"/>
        </w:rPr>
        <w:t>.</w:t>
      </w:r>
      <w:r w:rsidRPr="00F20283">
        <w:rPr>
          <w:rFonts w:ascii="Verdana" w:hAnsi="Verdana"/>
          <w:b/>
          <w:i/>
          <w:sz w:val="20"/>
          <w:szCs w:val="20"/>
          <w:shd w:val="clear" w:color="auto" w:fill="F0F7F9"/>
        </w:rPr>
        <w:t>”</w:t>
      </w:r>
      <w:r w:rsidRPr="00F20283">
        <w:rPr>
          <w:rFonts w:ascii="Verdana" w:hAnsi="Verdana"/>
          <w:b/>
          <w:sz w:val="20"/>
          <w:szCs w:val="20"/>
          <w:shd w:val="clear" w:color="auto" w:fill="F0F7F9"/>
        </w:rPr>
        <w:t xml:space="preserve"> </w:t>
      </w:r>
    </w:p>
    <w:p w:rsidR="00FC68CC" w:rsidRPr="00F20283" w:rsidRDefault="00FC68CC" w:rsidP="00FC68CC">
      <w:pPr>
        <w:ind w:left="720"/>
        <w:rPr>
          <w:b/>
          <w:szCs w:val="20"/>
        </w:rPr>
      </w:pPr>
      <w:r w:rsidRPr="00F20283">
        <w:rPr>
          <w:rFonts w:eastAsia="Calibri"/>
          <w:b/>
          <w:szCs w:val="20"/>
          <w:lang w:val="kl-GL" w:eastAsia="en-US"/>
        </w:rPr>
        <w:t>-</w:t>
      </w:r>
      <w:r w:rsidRPr="00F20283">
        <w:rPr>
          <w:b/>
          <w:szCs w:val="20"/>
        </w:rPr>
        <w:t xml:space="preserve"> Er det </w:t>
      </w:r>
      <w:proofErr w:type="spellStart"/>
      <w:r w:rsidRPr="00F20283">
        <w:rPr>
          <w:b/>
          <w:szCs w:val="20"/>
        </w:rPr>
        <w:t>Naalakkersuisuts</w:t>
      </w:r>
      <w:proofErr w:type="spellEnd"/>
      <w:r w:rsidRPr="00F20283">
        <w:rPr>
          <w:b/>
          <w:szCs w:val="20"/>
        </w:rPr>
        <w:t xml:space="preserve"> fortsatte holdning, at forøgelse af hellefiske</w:t>
      </w:r>
      <w:r w:rsidR="00F20283" w:rsidRPr="00F20283">
        <w:rPr>
          <w:b/>
          <w:szCs w:val="20"/>
        </w:rPr>
        <w:t xml:space="preserve">kvoten i </w:t>
      </w:r>
      <w:proofErr w:type="spellStart"/>
      <w:r w:rsidR="00F20283" w:rsidRPr="00F20283">
        <w:rPr>
          <w:b/>
          <w:szCs w:val="20"/>
        </w:rPr>
        <w:t>Diskobugten</w:t>
      </w:r>
      <w:proofErr w:type="spellEnd"/>
      <w:r w:rsidR="00F20283" w:rsidRPr="00F20283">
        <w:rPr>
          <w:b/>
          <w:szCs w:val="20"/>
        </w:rPr>
        <w:t xml:space="preserve"> sker på et bæredygtigt grundlag? </w:t>
      </w:r>
    </w:p>
    <w:p w:rsidR="00F20283" w:rsidRPr="00F20283" w:rsidRDefault="00F20283" w:rsidP="00FC68CC">
      <w:pPr>
        <w:ind w:left="720"/>
        <w:rPr>
          <w:b/>
          <w:szCs w:val="20"/>
          <w:lang w:val="kl-GL"/>
        </w:rPr>
      </w:pPr>
    </w:p>
    <w:p w:rsidR="00F20283" w:rsidRPr="00F20283" w:rsidRDefault="00F20283" w:rsidP="00F20283">
      <w:pPr>
        <w:pStyle w:val="Listeafsnit"/>
        <w:numPr>
          <w:ilvl w:val="0"/>
          <w:numId w:val="12"/>
        </w:numPr>
        <w:rPr>
          <w:b/>
          <w:szCs w:val="20"/>
          <w:lang w:val="kl-GL"/>
        </w:rPr>
      </w:pPr>
      <w:r w:rsidRPr="00F20283">
        <w:rPr>
          <w:rFonts w:ascii="Verdana" w:hAnsi="Verdana"/>
          <w:b/>
          <w:sz w:val="20"/>
          <w:szCs w:val="20"/>
          <w:lang w:val="kl-GL"/>
        </w:rPr>
        <w:t xml:space="preserve">Hvis ja til spm 3: Hvordan vurderer Naalakkersuisut at det sker på et bæredygtigt grundlag? </w:t>
      </w:r>
      <w:r>
        <w:rPr>
          <w:rFonts w:ascii="Verdana" w:hAnsi="Verdana"/>
          <w:b/>
          <w:sz w:val="20"/>
          <w:szCs w:val="20"/>
          <w:lang w:val="kl-GL"/>
        </w:rPr>
        <w:br/>
      </w:r>
    </w:p>
    <w:p w:rsidR="00F20283" w:rsidRPr="00F20283" w:rsidRDefault="00993BAE" w:rsidP="00F20283">
      <w:pPr>
        <w:pStyle w:val="Listeafsnit"/>
        <w:numPr>
          <w:ilvl w:val="0"/>
          <w:numId w:val="12"/>
        </w:numPr>
        <w:rPr>
          <w:rFonts w:ascii="Verdana" w:hAnsi="Verdana"/>
          <w:b/>
          <w:sz w:val="20"/>
          <w:szCs w:val="20"/>
          <w:lang w:val="kl-GL"/>
        </w:rPr>
      </w:pPr>
      <w:r>
        <w:rPr>
          <w:rFonts w:ascii="Verdana" w:hAnsi="Verdana"/>
          <w:b/>
          <w:sz w:val="20"/>
          <w:szCs w:val="20"/>
          <w:lang w:val="kl-GL"/>
        </w:rPr>
        <w:lastRenderedPageBreak/>
        <w:t xml:space="preserve">Med henvisning til Naalakkersuisut´s pressemeddelelse af den 9. September 2019: </w:t>
      </w:r>
      <w:r w:rsidR="00F20283">
        <w:rPr>
          <w:rFonts w:ascii="Verdana" w:hAnsi="Verdana"/>
          <w:b/>
          <w:sz w:val="20"/>
          <w:szCs w:val="20"/>
          <w:lang w:val="kl-GL"/>
        </w:rPr>
        <w:t>H</w:t>
      </w:r>
      <w:r w:rsidR="00F20283" w:rsidRPr="00F20283">
        <w:rPr>
          <w:rFonts w:ascii="Verdana" w:hAnsi="Verdana"/>
          <w:b/>
          <w:sz w:val="20"/>
          <w:szCs w:val="20"/>
          <w:lang w:val="kl-GL"/>
        </w:rPr>
        <w:t xml:space="preserve">elt præcist hvornår vil Naalakkersuisut afskaffe de kvotefrie kvoter i Diskobugten, og stoppe tilgangen af licenser i Diskobugten? </w:t>
      </w:r>
    </w:p>
    <w:p w:rsidR="005D783E" w:rsidRPr="00EF4498" w:rsidRDefault="00EF4498" w:rsidP="00EF4498">
      <w:pPr>
        <w:rPr>
          <w:szCs w:val="20"/>
          <w:lang w:val="kl-GL"/>
        </w:rPr>
      </w:pPr>
      <w:r w:rsidRPr="00EF4498">
        <w:rPr>
          <w:szCs w:val="20"/>
          <w:lang w:val="kl-GL"/>
        </w:rPr>
        <w:t xml:space="preserve"> </w:t>
      </w:r>
      <w:r w:rsidR="005D783E" w:rsidRPr="00EF4498">
        <w:rPr>
          <w:szCs w:val="20"/>
          <w:lang w:val="kl-GL"/>
        </w:rPr>
        <w:t>(</w:t>
      </w:r>
      <w:r w:rsidR="003624A4" w:rsidRPr="00EF4498">
        <w:rPr>
          <w:szCs w:val="20"/>
          <w:lang w:val="kl-GL"/>
        </w:rPr>
        <w:t>Medlem af Inatsisartut</w:t>
      </w:r>
      <w:r w:rsidR="005D783E" w:rsidRPr="00EF4498">
        <w:rPr>
          <w:szCs w:val="20"/>
          <w:lang w:val="kl-GL"/>
        </w:rPr>
        <w:t xml:space="preserve"> </w:t>
      </w:r>
      <w:r w:rsidR="00F20283">
        <w:rPr>
          <w:szCs w:val="20"/>
          <w:lang w:val="kl-GL"/>
        </w:rPr>
        <w:t>Sofia Geisler</w:t>
      </w:r>
      <w:r w:rsidR="005D783E" w:rsidRPr="00EF4498">
        <w:rPr>
          <w:szCs w:val="20"/>
          <w:lang w:val="kl-GL"/>
        </w:rPr>
        <w:t>, Inuit Ataqatigiit)</w:t>
      </w:r>
    </w:p>
    <w:p w:rsidR="00125FD0" w:rsidRPr="00D9518E" w:rsidRDefault="00125FD0" w:rsidP="00125FD0">
      <w:pPr>
        <w:pStyle w:val="Listeafsnit"/>
        <w:rPr>
          <w:rFonts w:ascii="Verdana" w:hAnsi="Verdana" w:cs="Tahoma"/>
          <w:color w:val="000000"/>
          <w:sz w:val="20"/>
          <w:szCs w:val="20"/>
          <w:lang w:val="kl-GL"/>
        </w:rPr>
      </w:pPr>
    </w:p>
    <w:p w:rsidR="00895C02" w:rsidRPr="00D9518E" w:rsidRDefault="00895C02" w:rsidP="00DB1100">
      <w:pPr>
        <w:jc w:val="both"/>
        <w:rPr>
          <w:rFonts w:eastAsiaTheme="minorHAnsi"/>
          <w:b/>
          <w:szCs w:val="20"/>
          <w:lang w:val="kl-GL"/>
        </w:rPr>
      </w:pPr>
    </w:p>
    <w:p w:rsidR="00F7264A" w:rsidRPr="00D9518E" w:rsidRDefault="006071CD" w:rsidP="00DB1100">
      <w:pPr>
        <w:jc w:val="both"/>
        <w:rPr>
          <w:b/>
          <w:szCs w:val="20"/>
          <w:lang w:val="kl-GL"/>
        </w:rPr>
      </w:pPr>
      <w:r>
        <w:rPr>
          <w:b/>
          <w:szCs w:val="20"/>
          <w:lang w:val="kl-GL"/>
        </w:rPr>
        <w:t>Begrundelse</w:t>
      </w:r>
      <w:r w:rsidR="00646058" w:rsidRPr="00D9518E">
        <w:rPr>
          <w:b/>
          <w:szCs w:val="20"/>
          <w:lang w:val="kl-GL"/>
        </w:rPr>
        <w:t>:</w:t>
      </w:r>
    </w:p>
    <w:p w:rsidR="00627185" w:rsidRDefault="00627185" w:rsidP="00DB1100">
      <w:pPr>
        <w:jc w:val="both"/>
        <w:rPr>
          <w:rFonts w:cs="Tahoma"/>
          <w:color w:val="000000"/>
          <w:szCs w:val="20"/>
          <w:lang w:val="kl-GL"/>
        </w:rPr>
      </w:pPr>
    </w:p>
    <w:p w:rsidR="00F20283" w:rsidRDefault="00F20283" w:rsidP="00DB1100">
      <w:pPr>
        <w:jc w:val="both"/>
        <w:rPr>
          <w:rFonts w:cs="Tahoma"/>
          <w:color w:val="000000"/>
          <w:szCs w:val="20"/>
          <w:lang w:val="kl-GL"/>
        </w:rPr>
      </w:pPr>
      <w:r>
        <w:rPr>
          <w:rFonts w:cs="Tahoma"/>
          <w:color w:val="000000"/>
          <w:szCs w:val="20"/>
          <w:lang w:val="kl-GL"/>
        </w:rPr>
        <w:t xml:space="preserve">Det undrer mig meget, at Naalakkersuisut synes at have vendt på en tallerken i forhold til principperne for forvaltningen af levende ressourcer som hellefisk. Jeg vil derfor gerne vide, hvad der ligger til grund for dette. Vi snakker om en så vigtig kilde til samfundsøkonomiens stabilitet, at der må være for samfundet meget store væsentlige grunde til, at der måtte ske en ændring i de beslutninger, som Naalakkersuisut ellers hidtil har udmeldt. </w:t>
      </w:r>
    </w:p>
    <w:p w:rsidR="00F20283" w:rsidRDefault="00F20283" w:rsidP="00DB1100">
      <w:pPr>
        <w:jc w:val="both"/>
        <w:rPr>
          <w:rFonts w:cs="Tahoma"/>
          <w:color w:val="000000"/>
          <w:szCs w:val="20"/>
          <w:lang w:val="kl-GL"/>
        </w:rPr>
      </w:pPr>
    </w:p>
    <w:p w:rsidR="00EF4498" w:rsidRDefault="00F20283" w:rsidP="00DB1100">
      <w:pPr>
        <w:jc w:val="both"/>
        <w:rPr>
          <w:rFonts w:cs="Tahoma"/>
          <w:color w:val="000000"/>
          <w:szCs w:val="20"/>
          <w:lang w:val="kl-GL"/>
        </w:rPr>
      </w:pPr>
      <w:r>
        <w:rPr>
          <w:rFonts w:cs="Tahoma"/>
          <w:color w:val="000000"/>
          <w:szCs w:val="20"/>
          <w:lang w:val="kl-GL"/>
        </w:rPr>
        <w:t xml:space="preserve">Ellers vil det være at spille hasard med Grønlands økonomi, at tage et skridt i en retning af overfiskeri, så det jo må være, når kvoten nu ligger over 5.000 tons over den videnskabelige anbefaling for Diskobugtområdet.  </w:t>
      </w:r>
    </w:p>
    <w:p w:rsidR="00EF4498" w:rsidRDefault="00EF4498" w:rsidP="00DB1100">
      <w:pPr>
        <w:jc w:val="both"/>
        <w:rPr>
          <w:szCs w:val="20"/>
          <w:lang w:val="kl-GL"/>
        </w:rPr>
      </w:pPr>
    </w:p>
    <w:p w:rsidR="00656D9B" w:rsidRDefault="00610855" w:rsidP="00DB1100">
      <w:pPr>
        <w:jc w:val="both"/>
        <w:rPr>
          <w:szCs w:val="20"/>
          <w:lang w:val="kl-GL"/>
        </w:rPr>
      </w:pPr>
      <w:r>
        <w:rPr>
          <w:szCs w:val="20"/>
          <w:lang w:val="kl-GL"/>
        </w:rPr>
        <w:t>Jeg ønsker at mine spørgsmål bliver besvaret inden for 10 arbejdsdage</w:t>
      </w:r>
      <w:r w:rsidR="00F20283">
        <w:rPr>
          <w:szCs w:val="20"/>
          <w:lang w:val="kl-GL"/>
        </w:rPr>
        <w:t>.</w:t>
      </w:r>
      <w:r>
        <w:rPr>
          <w:szCs w:val="20"/>
          <w:lang w:val="kl-GL"/>
        </w:rPr>
        <w:t xml:space="preserve"> </w:t>
      </w:r>
    </w:p>
    <w:p w:rsidR="00656D9B" w:rsidRDefault="00656D9B" w:rsidP="00DB1100">
      <w:pPr>
        <w:jc w:val="both"/>
        <w:rPr>
          <w:szCs w:val="20"/>
          <w:lang w:val="kl-GL"/>
        </w:rPr>
      </w:pPr>
    </w:p>
    <w:p w:rsidR="00656D9B" w:rsidRPr="00656D9B" w:rsidRDefault="00656D9B" w:rsidP="00DB1100">
      <w:pPr>
        <w:jc w:val="both"/>
        <w:rPr>
          <w:szCs w:val="20"/>
          <w:lang w:val="kl-GL"/>
        </w:rPr>
      </w:pPr>
    </w:p>
    <w:sectPr w:rsidR="00656D9B" w:rsidRPr="00656D9B" w:rsidSect="00DB1100">
      <w:footerReference w:type="even"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263" w:rsidRDefault="00777263">
      <w:r>
        <w:separator/>
      </w:r>
    </w:p>
  </w:endnote>
  <w:endnote w:type="continuationSeparator" w:id="0">
    <w:p w:rsidR="00777263" w:rsidRDefault="0077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3A5" w:rsidRDefault="002923A5" w:rsidP="005A6FB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2923A5" w:rsidRDefault="002923A5" w:rsidP="00F5213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3A5" w:rsidRDefault="002923A5" w:rsidP="005A6FB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046FF7">
      <w:rPr>
        <w:rStyle w:val="Sidetal"/>
        <w:noProof/>
      </w:rPr>
      <w:t>2</w:t>
    </w:r>
    <w:r>
      <w:rPr>
        <w:rStyle w:val="Sidetal"/>
      </w:rPr>
      <w:fldChar w:fldCharType="end"/>
    </w:r>
  </w:p>
  <w:p w:rsidR="002923A5" w:rsidRDefault="002923A5" w:rsidP="00F5213D">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263" w:rsidRDefault="00777263">
      <w:r>
        <w:separator/>
      </w:r>
    </w:p>
  </w:footnote>
  <w:footnote w:type="continuationSeparator" w:id="0">
    <w:p w:rsidR="00777263" w:rsidRDefault="00777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41BBD"/>
    <w:multiLevelType w:val="hybridMultilevel"/>
    <w:tmpl w:val="0BD8B56C"/>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1" w15:restartNumberingAfterBreak="0">
    <w:nsid w:val="1DFB5B5D"/>
    <w:multiLevelType w:val="hybridMultilevel"/>
    <w:tmpl w:val="8196F866"/>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2" w15:restartNumberingAfterBreak="0">
    <w:nsid w:val="27A10381"/>
    <w:multiLevelType w:val="hybridMultilevel"/>
    <w:tmpl w:val="26DE5F54"/>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3" w15:restartNumberingAfterBreak="0">
    <w:nsid w:val="288665A4"/>
    <w:multiLevelType w:val="hybridMultilevel"/>
    <w:tmpl w:val="FF0057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E72197F"/>
    <w:multiLevelType w:val="hybridMultilevel"/>
    <w:tmpl w:val="95987472"/>
    <w:lvl w:ilvl="0" w:tplc="0406000F">
      <w:start w:val="1"/>
      <w:numFmt w:val="decimal"/>
      <w:lvlText w:val="%1."/>
      <w:lvlJc w:val="left"/>
      <w:pPr>
        <w:ind w:left="436" w:hanging="360"/>
      </w:pPr>
    </w:lvl>
    <w:lvl w:ilvl="1" w:tplc="04060019" w:tentative="1">
      <w:start w:val="1"/>
      <w:numFmt w:val="lowerLetter"/>
      <w:lvlText w:val="%2."/>
      <w:lvlJc w:val="left"/>
      <w:pPr>
        <w:ind w:left="1156" w:hanging="360"/>
      </w:pPr>
    </w:lvl>
    <w:lvl w:ilvl="2" w:tplc="0406001B" w:tentative="1">
      <w:start w:val="1"/>
      <w:numFmt w:val="lowerRoman"/>
      <w:lvlText w:val="%3."/>
      <w:lvlJc w:val="right"/>
      <w:pPr>
        <w:ind w:left="1876" w:hanging="180"/>
      </w:pPr>
    </w:lvl>
    <w:lvl w:ilvl="3" w:tplc="0406000F" w:tentative="1">
      <w:start w:val="1"/>
      <w:numFmt w:val="decimal"/>
      <w:lvlText w:val="%4."/>
      <w:lvlJc w:val="left"/>
      <w:pPr>
        <w:ind w:left="2596" w:hanging="360"/>
      </w:pPr>
    </w:lvl>
    <w:lvl w:ilvl="4" w:tplc="04060019" w:tentative="1">
      <w:start w:val="1"/>
      <w:numFmt w:val="lowerLetter"/>
      <w:lvlText w:val="%5."/>
      <w:lvlJc w:val="left"/>
      <w:pPr>
        <w:ind w:left="3316" w:hanging="360"/>
      </w:pPr>
    </w:lvl>
    <w:lvl w:ilvl="5" w:tplc="0406001B" w:tentative="1">
      <w:start w:val="1"/>
      <w:numFmt w:val="lowerRoman"/>
      <w:lvlText w:val="%6."/>
      <w:lvlJc w:val="right"/>
      <w:pPr>
        <w:ind w:left="4036" w:hanging="180"/>
      </w:pPr>
    </w:lvl>
    <w:lvl w:ilvl="6" w:tplc="0406000F" w:tentative="1">
      <w:start w:val="1"/>
      <w:numFmt w:val="decimal"/>
      <w:lvlText w:val="%7."/>
      <w:lvlJc w:val="left"/>
      <w:pPr>
        <w:ind w:left="4756" w:hanging="360"/>
      </w:pPr>
    </w:lvl>
    <w:lvl w:ilvl="7" w:tplc="04060019" w:tentative="1">
      <w:start w:val="1"/>
      <w:numFmt w:val="lowerLetter"/>
      <w:lvlText w:val="%8."/>
      <w:lvlJc w:val="left"/>
      <w:pPr>
        <w:ind w:left="5476" w:hanging="360"/>
      </w:pPr>
    </w:lvl>
    <w:lvl w:ilvl="8" w:tplc="0406001B" w:tentative="1">
      <w:start w:val="1"/>
      <w:numFmt w:val="lowerRoman"/>
      <w:lvlText w:val="%9."/>
      <w:lvlJc w:val="right"/>
      <w:pPr>
        <w:ind w:left="6196" w:hanging="180"/>
      </w:pPr>
    </w:lvl>
  </w:abstractNum>
  <w:abstractNum w:abstractNumId="5" w15:restartNumberingAfterBreak="0">
    <w:nsid w:val="3D9F3C0F"/>
    <w:multiLevelType w:val="hybridMultilevel"/>
    <w:tmpl w:val="C220C38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4CDC5263"/>
    <w:multiLevelType w:val="hybridMultilevel"/>
    <w:tmpl w:val="D50471F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ED17060"/>
    <w:multiLevelType w:val="hybridMultilevel"/>
    <w:tmpl w:val="CEE6E418"/>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8" w15:restartNumberingAfterBreak="0">
    <w:nsid w:val="56246682"/>
    <w:multiLevelType w:val="hybridMultilevel"/>
    <w:tmpl w:val="9FC0F13E"/>
    <w:lvl w:ilvl="0" w:tplc="206883BE">
      <w:start w:val="13"/>
      <w:numFmt w:val="bullet"/>
      <w:lvlText w:val="-"/>
      <w:lvlJc w:val="left"/>
      <w:pPr>
        <w:ind w:left="1080" w:hanging="360"/>
      </w:pPr>
      <w:rPr>
        <w:rFonts w:ascii="Calibri" w:eastAsia="Calibr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5BDC4767"/>
    <w:multiLevelType w:val="hybridMultilevel"/>
    <w:tmpl w:val="2506A5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0" w15:restartNumberingAfterBreak="0">
    <w:nsid w:val="78146AE0"/>
    <w:multiLevelType w:val="hybridMultilevel"/>
    <w:tmpl w:val="A6323DE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8B80B68"/>
    <w:multiLevelType w:val="hybridMultilevel"/>
    <w:tmpl w:val="985EF7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num>
  <w:num w:numId="4">
    <w:abstractNumId w:val="5"/>
  </w:num>
  <w:num w:numId="5">
    <w:abstractNumId w:val="1"/>
  </w:num>
  <w:num w:numId="6">
    <w:abstractNumId w:val="6"/>
  </w:num>
  <w:num w:numId="7">
    <w:abstractNumId w:val="2"/>
  </w:num>
  <w:num w:numId="8">
    <w:abstractNumId w:val="4"/>
  </w:num>
  <w:num w:numId="9">
    <w:abstractNumId w:val="7"/>
  </w:num>
  <w:num w:numId="10">
    <w:abstractNumId w:val="3"/>
  </w:num>
  <w:num w:numId="11">
    <w:abstractNumId w:val="1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3D"/>
    <w:rsid w:val="00014A5A"/>
    <w:rsid w:val="00041E9D"/>
    <w:rsid w:val="00046FF7"/>
    <w:rsid w:val="0005273A"/>
    <w:rsid w:val="00066053"/>
    <w:rsid w:val="00077251"/>
    <w:rsid w:val="000B3BB7"/>
    <w:rsid w:val="000C1C3C"/>
    <w:rsid w:val="000C3EC1"/>
    <w:rsid w:val="000C4781"/>
    <w:rsid w:val="00110165"/>
    <w:rsid w:val="00110A14"/>
    <w:rsid w:val="00124272"/>
    <w:rsid w:val="00125FD0"/>
    <w:rsid w:val="00132F4E"/>
    <w:rsid w:val="00145B95"/>
    <w:rsid w:val="0016505F"/>
    <w:rsid w:val="00175ABE"/>
    <w:rsid w:val="001965E7"/>
    <w:rsid w:val="001B2424"/>
    <w:rsid w:val="001D7C21"/>
    <w:rsid w:val="001E4AE4"/>
    <w:rsid w:val="001E7BD0"/>
    <w:rsid w:val="001F4B72"/>
    <w:rsid w:val="00235F35"/>
    <w:rsid w:val="00244A75"/>
    <w:rsid w:val="00262E47"/>
    <w:rsid w:val="00276ABD"/>
    <w:rsid w:val="002923A5"/>
    <w:rsid w:val="002C595C"/>
    <w:rsid w:val="002D0A0E"/>
    <w:rsid w:val="002E42EF"/>
    <w:rsid w:val="00312E9F"/>
    <w:rsid w:val="0033376F"/>
    <w:rsid w:val="00340029"/>
    <w:rsid w:val="00350701"/>
    <w:rsid w:val="003624A4"/>
    <w:rsid w:val="003626DD"/>
    <w:rsid w:val="003666CC"/>
    <w:rsid w:val="00367CA5"/>
    <w:rsid w:val="00391027"/>
    <w:rsid w:val="003D7EBF"/>
    <w:rsid w:val="003F1C4D"/>
    <w:rsid w:val="004157BE"/>
    <w:rsid w:val="00437935"/>
    <w:rsid w:val="00447557"/>
    <w:rsid w:val="00471B19"/>
    <w:rsid w:val="00484A4C"/>
    <w:rsid w:val="00497B08"/>
    <w:rsid w:val="004A1476"/>
    <w:rsid w:val="004E20D4"/>
    <w:rsid w:val="005014A0"/>
    <w:rsid w:val="00512FEA"/>
    <w:rsid w:val="0053518E"/>
    <w:rsid w:val="00547A4C"/>
    <w:rsid w:val="005523DF"/>
    <w:rsid w:val="00575039"/>
    <w:rsid w:val="005758D4"/>
    <w:rsid w:val="005A6FBC"/>
    <w:rsid w:val="005D340B"/>
    <w:rsid w:val="005D4F6E"/>
    <w:rsid w:val="005D783E"/>
    <w:rsid w:val="006071CD"/>
    <w:rsid w:val="00610855"/>
    <w:rsid w:val="00612D11"/>
    <w:rsid w:val="0061407E"/>
    <w:rsid w:val="00627185"/>
    <w:rsid w:val="00631EE9"/>
    <w:rsid w:val="00633B3E"/>
    <w:rsid w:val="006347A4"/>
    <w:rsid w:val="00643FF3"/>
    <w:rsid w:val="00646058"/>
    <w:rsid w:val="00652539"/>
    <w:rsid w:val="00656D9B"/>
    <w:rsid w:val="006856ED"/>
    <w:rsid w:val="00686872"/>
    <w:rsid w:val="006B347E"/>
    <w:rsid w:val="006C2DDB"/>
    <w:rsid w:val="006E2104"/>
    <w:rsid w:val="006F26EA"/>
    <w:rsid w:val="00700BA5"/>
    <w:rsid w:val="007158F4"/>
    <w:rsid w:val="00727A6E"/>
    <w:rsid w:val="00740DB3"/>
    <w:rsid w:val="00744F00"/>
    <w:rsid w:val="00765149"/>
    <w:rsid w:val="00777263"/>
    <w:rsid w:val="007A73C5"/>
    <w:rsid w:val="007B38FA"/>
    <w:rsid w:val="007B49C6"/>
    <w:rsid w:val="007B4A6A"/>
    <w:rsid w:val="007B6C80"/>
    <w:rsid w:val="007C5D99"/>
    <w:rsid w:val="007D64D1"/>
    <w:rsid w:val="007D7042"/>
    <w:rsid w:val="007E39B3"/>
    <w:rsid w:val="007E708E"/>
    <w:rsid w:val="007F3E9E"/>
    <w:rsid w:val="00803093"/>
    <w:rsid w:val="00804550"/>
    <w:rsid w:val="008066BA"/>
    <w:rsid w:val="00810D01"/>
    <w:rsid w:val="0081413C"/>
    <w:rsid w:val="00814C80"/>
    <w:rsid w:val="00833CEC"/>
    <w:rsid w:val="00835F9D"/>
    <w:rsid w:val="00837C8F"/>
    <w:rsid w:val="00841036"/>
    <w:rsid w:val="008466EB"/>
    <w:rsid w:val="0087183D"/>
    <w:rsid w:val="00877432"/>
    <w:rsid w:val="00885C81"/>
    <w:rsid w:val="0089286E"/>
    <w:rsid w:val="00895C02"/>
    <w:rsid w:val="00906BE4"/>
    <w:rsid w:val="00920F70"/>
    <w:rsid w:val="009231BE"/>
    <w:rsid w:val="00930873"/>
    <w:rsid w:val="009370CE"/>
    <w:rsid w:val="00956A89"/>
    <w:rsid w:val="00971230"/>
    <w:rsid w:val="00972D62"/>
    <w:rsid w:val="00974064"/>
    <w:rsid w:val="00991329"/>
    <w:rsid w:val="00993509"/>
    <w:rsid w:val="00993BAE"/>
    <w:rsid w:val="009B18D6"/>
    <w:rsid w:val="009C079B"/>
    <w:rsid w:val="009C4CCC"/>
    <w:rsid w:val="009C5458"/>
    <w:rsid w:val="00A1624A"/>
    <w:rsid w:val="00A23E09"/>
    <w:rsid w:val="00A34437"/>
    <w:rsid w:val="00A42C18"/>
    <w:rsid w:val="00A44366"/>
    <w:rsid w:val="00A734FF"/>
    <w:rsid w:val="00A77DBA"/>
    <w:rsid w:val="00A87CA0"/>
    <w:rsid w:val="00A95D2D"/>
    <w:rsid w:val="00AA5E9E"/>
    <w:rsid w:val="00AB33E1"/>
    <w:rsid w:val="00AD15B1"/>
    <w:rsid w:val="00AD7BF5"/>
    <w:rsid w:val="00AF0E91"/>
    <w:rsid w:val="00B00186"/>
    <w:rsid w:val="00B00382"/>
    <w:rsid w:val="00B069D1"/>
    <w:rsid w:val="00B11517"/>
    <w:rsid w:val="00B40C11"/>
    <w:rsid w:val="00B43EA5"/>
    <w:rsid w:val="00B46260"/>
    <w:rsid w:val="00B57972"/>
    <w:rsid w:val="00B74036"/>
    <w:rsid w:val="00B7597E"/>
    <w:rsid w:val="00B845E8"/>
    <w:rsid w:val="00BA13A7"/>
    <w:rsid w:val="00BB2528"/>
    <w:rsid w:val="00BE1DCB"/>
    <w:rsid w:val="00BF4733"/>
    <w:rsid w:val="00C00E7E"/>
    <w:rsid w:val="00C11274"/>
    <w:rsid w:val="00C170E5"/>
    <w:rsid w:val="00C17237"/>
    <w:rsid w:val="00C4796F"/>
    <w:rsid w:val="00C511D6"/>
    <w:rsid w:val="00C730AC"/>
    <w:rsid w:val="00CA32D2"/>
    <w:rsid w:val="00CC407D"/>
    <w:rsid w:val="00D0691F"/>
    <w:rsid w:val="00D63FB2"/>
    <w:rsid w:val="00D66E0F"/>
    <w:rsid w:val="00D71CF8"/>
    <w:rsid w:val="00D9518E"/>
    <w:rsid w:val="00DA4095"/>
    <w:rsid w:val="00DA4D1B"/>
    <w:rsid w:val="00DB1100"/>
    <w:rsid w:val="00DC13D1"/>
    <w:rsid w:val="00DC467F"/>
    <w:rsid w:val="00DC5969"/>
    <w:rsid w:val="00E5512C"/>
    <w:rsid w:val="00E917E8"/>
    <w:rsid w:val="00EB3179"/>
    <w:rsid w:val="00EF28AA"/>
    <w:rsid w:val="00EF4498"/>
    <w:rsid w:val="00EF7958"/>
    <w:rsid w:val="00F20283"/>
    <w:rsid w:val="00F332B0"/>
    <w:rsid w:val="00F508D0"/>
    <w:rsid w:val="00F5213D"/>
    <w:rsid w:val="00F53665"/>
    <w:rsid w:val="00F60765"/>
    <w:rsid w:val="00F63D96"/>
    <w:rsid w:val="00F7264A"/>
    <w:rsid w:val="00F87267"/>
    <w:rsid w:val="00F911BC"/>
    <w:rsid w:val="00FA1F28"/>
    <w:rsid w:val="00FB15E8"/>
    <w:rsid w:val="00FB7FE4"/>
    <w:rsid w:val="00FC247B"/>
    <w:rsid w:val="00FC68C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718F3A"/>
  <w15:docId w15:val="{39308A8C-BD3E-49C8-92FF-050EEDBF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rsid w:val="00F5213D"/>
    <w:pPr>
      <w:tabs>
        <w:tab w:val="center" w:pos="4819"/>
        <w:tab w:val="right" w:pos="9638"/>
      </w:tabs>
    </w:pPr>
  </w:style>
  <w:style w:type="character" w:styleId="Sidetal">
    <w:name w:val="page number"/>
    <w:basedOn w:val="Standardskrifttypeiafsnit"/>
    <w:rsid w:val="00F5213D"/>
  </w:style>
  <w:style w:type="paragraph" w:customStyle="1" w:styleId="Standard">
    <w:name w:val="Standard"/>
    <w:rsid w:val="00312E9F"/>
    <w:pPr>
      <w:suppressAutoHyphens/>
      <w:autoSpaceDN w:val="0"/>
    </w:pPr>
    <w:rPr>
      <w:rFonts w:ascii="Verdana" w:eastAsia="SimSun" w:hAnsi="Verdana" w:cs="Mangal"/>
      <w:kern w:val="3"/>
      <w:sz w:val="24"/>
      <w:szCs w:val="24"/>
      <w:lang w:bidi="hi-IN"/>
    </w:rPr>
  </w:style>
  <w:style w:type="paragraph" w:styleId="Listeafsnit">
    <w:name w:val="List Paragraph"/>
    <w:basedOn w:val="Normal"/>
    <w:uiPriority w:val="34"/>
    <w:qFormat/>
    <w:rsid w:val="00841036"/>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646058"/>
    <w:rPr>
      <w:rFonts w:ascii="Times New Roman" w:eastAsia="Calibri" w:hAnsi="Times New Roman"/>
      <w:sz w:val="24"/>
    </w:rPr>
  </w:style>
  <w:style w:type="character" w:styleId="Strk">
    <w:name w:val="Strong"/>
    <w:uiPriority w:val="22"/>
    <w:qFormat/>
    <w:rsid w:val="00646058"/>
    <w:rPr>
      <w:b/>
      <w:bCs/>
    </w:rPr>
  </w:style>
  <w:style w:type="paragraph" w:styleId="Almindeligtekst">
    <w:name w:val="Plain Text"/>
    <w:basedOn w:val="Normal"/>
    <w:link w:val="AlmindeligtekstTegn"/>
    <w:uiPriority w:val="99"/>
    <w:unhideWhenUsed/>
    <w:rsid w:val="00EF28AA"/>
    <w:rPr>
      <w:rFonts w:ascii="Calibri" w:eastAsiaTheme="minorHAnsi" w:hAnsi="Calibri" w:cstheme="minorBidi"/>
      <w:sz w:val="22"/>
      <w:szCs w:val="21"/>
      <w:lang w:eastAsia="en-US"/>
    </w:rPr>
  </w:style>
  <w:style w:type="character" w:customStyle="1" w:styleId="AlmindeligtekstTegn">
    <w:name w:val="Almindelig tekst Tegn"/>
    <w:basedOn w:val="Standardskrifttypeiafsnit"/>
    <w:link w:val="Almindeligtekst"/>
    <w:uiPriority w:val="99"/>
    <w:rsid w:val="00EF28AA"/>
    <w:rPr>
      <w:rFonts w:ascii="Calibri" w:eastAsiaTheme="minorHAnsi" w:hAnsi="Calibri" w:cstheme="minorBidi"/>
      <w:sz w:val="22"/>
      <w:szCs w:val="21"/>
      <w:lang w:eastAsia="en-US"/>
    </w:rPr>
  </w:style>
  <w:style w:type="paragraph" w:styleId="Markeringsbobletekst">
    <w:name w:val="Balloon Text"/>
    <w:basedOn w:val="Normal"/>
    <w:link w:val="MarkeringsbobletekstTegn"/>
    <w:rsid w:val="007E708E"/>
    <w:rPr>
      <w:rFonts w:ascii="Tahoma" w:hAnsi="Tahoma" w:cs="Tahoma"/>
      <w:sz w:val="16"/>
      <w:szCs w:val="16"/>
    </w:rPr>
  </w:style>
  <w:style w:type="character" w:customStyle="1" w:styleId="MarkeringsbobletekstTegn">
    <w:name w:val="Markeringsbobletekst Tegn"/>
    <w:basedOn w:val="Standardskrifttypeiafsnit"/>
    <w:link w:val="Markeringsbobletekst"/>
    <w:rsid w:val="007E708E"/>
    <w:rPr>
      <w:rFonts w:ascii="Tahoma" w:hAnsi="Tahoma" w:cs="Tahoma"/>
      <w:sz w:val="16"/>
      <w:szCs w:val="16"/>
    </w:rPr>
  </w:style>
  <w:style w:type="character" w:styleId="Hyperlink">
    <w:name w:val="Hyperlink"/>
    <w:basedOn w:val="Standardskrifttypeiafsnit"/>
    <w:unhideWhenUsed/>
    <w:rsid w:val="00FC68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7613">
      <w:bodyDiv w:val="1"/>
      <w:marLeft w:val="0"/>
      <w:marRight w:val="0"/>
      <w:marTop w:val="0"/>
      <w:marBottom w:val="0"/>
      <w:divBdr>
        <w:top w:val="none" w:sz="0" w:space="0" w:color="auto"/>
        <w:left w:val="none" w:sz="0" w:space="0" w:color="auto"/>
        <w:bottom w:val="none" w:sz="0" w:space="0" w:color="auto"/>
        <w:right w:val="none" w:sz="0" w:space="0" w:color="auto"/>
      </w:divBdr>
    </w:div>
    <w:div w:id="563294734">
      <w:bodyDiv w:val="1"/>
      <w:marLeft w:val="0"/>
      <w:marRight w:val="0"/>
      <w:marTop w:val="0"/>
      <w:marBottom w:val="0"/>
      <w:divBdr>
        <w:top w:val="none" w:sz="0" w:space="0" w:color="auto"/>
        <w:left w:val="none" w:sz="0" w:space="0" w:color="auto"/>
        <w:bottom w:val="none" w:sz="0" w:space="0" w:color="auto"/>
        <w:right w:val="none" w:sz="0" w:space="0" w:color="auto"/>
      </w:divBdr>
    </w:div>
    <w:div w:id="768818532">
      <w:bodyDiv w:val="1"/>
      <w:marLeft w:val="0"/>
      <w:marRight w:val="0"/>
      <w:marTop w:val="0"/>
      <w:marBottom w:val="0"/>
      <w:divBdr>
        <w:top w:val="none" w:sz="0" w:space="0" w:color="auto"/>
        <w:left w:val="none" w:sz="0" w:space="0" w:color="auto"/>
        <w:bottom w:val="none" w:sz="0" w:space="0" w:color="auto"/>
        <w:right w:val="none" w:sz="0" w:space="0" w:color="auto"/>
      </w:divBdr>
    </w:div>
    <w:div w:id="927155019">
      <w:bodyDiv w:val="1"/>
      <w:marLeft w:val="0"/>
      <w:marRight w:val="0"/>
      <w:marTop w:val="0"/>
      <w:marBottom w:val="0"/>
      <w:divBdr>
        <w:top w:val="none" w:sz="0" w:space="0" w:color="auto"/>
        <w:left w:val="none" w:sz="0" w:space="0" w:color="auto"/>
        <w:bottom w:val="none" w:sz="0" w:space="0" w:color="auto"/>
        <w:right w:val="none" w:sz="0" w:space="0" w:color="auto"/>
      </w:divBdr>
    </w:div>
    <w:div w:id="977419463">
      <w:bodyDiv w:val="1"/>
      <w:marLeft w:val="0"/>
      <w:marRight w:val="0"/>
      <w:marTop w:val="0"/>
      <w:marBottom w:val="0"/>
      <w:divBdr>
        <w:top w:val="none" w:sz="0" w:space="0" w:color="auto"/>
        <w:left w:val="none" w:sz="0" w:space="0" w:color="auto"/>
        <w:bottom w:val="none" w:sz="0" w:space="0" w:color="auto"/>
        <w:right w:val="none" w:sz="0" w:space="0" w:color="auto"/>
      </w:divBdr>
    </w:div>
    <w:div w:id="1034114446">
      <w:bodyDiv w:val="1"/>
      <w:marLeft w:val="0"/>
      <w:marRight w:val="0"/>
      <w:marTop w:val="0"/>
      <w:marBottom w:val="0"/>
      <w:divBdr>
        <w:top w:val="none" w:sz="0" w:space="0" w:color="auto"/>
        <w:left w:val="none" w:sz="0" w:space="0" w:color="auto"/>
        <w:bottom w:val="none" w:sz="0" w:space="0" w:color="auto"/>
        <w:right w:val="none" w:sz="0" w:space="0" w:color="auto"/>
      </w:divBdr>
    </w:div>
    <w:div w:id="1167399214">
      <w:bodyDiv w:val="1"/>
      <w:marLeft w:val="0"/>
      <w:marRight w:val="0"/>
      <w:marTop w:val="0"/>
      <w:marBottom w:val="0"/>
      <w:divBdr>
        <w:top w:val="none" w:sz="0" w:space="0" w:color="auto"/>
        <w:left w:val="none" w:sz="0" w:space="0" w:color="auto"/>
        <w:bottom w:val="none" w:sz="0" w:space="0" w:color="auto"/>
        <w:right w:val="none" w:sz="0" w:space="0" w:color="auto"/>
      </w:divBdr>
    </w:div>
    <w:div w:id="1197042234">
      <w:bodyDiv w:val="1"/>
      <w:marLeft w:val="0"/>
      <w:marRight w:val="0"/>
      <w:marTop w:val="0"/>
      <w:marBottom w:val="0"/>
      <w:divBdr>
        <w:top w:val="none" w:sz="0" w:space="0" w:color="auto"/>
        <w:left w:val="none" w:sz="0" w:space="0" w:color="auto"/>
        <w:bottom w:val="none" w:sz="0" w:space="0" w:color="auto"/>
        <w:right w:val="none" w:sz="0" w:space="0" w:color="auto"/>
      </w:divBdr>
    </w:div>
    <w:div w:id="1266620851">
      <w:bodyDiv w:val="1"/>
      <w:marLeft w:val="0"/>
      <w:marRight w:val="0"/>
      <w:marTop w:val="0"/>
      <w:marBottom w:val="0"/>
      <w:divBdr>
        <w:top w:val="none" w:sz="0" w:space="0" w:color="auto"/>
        <w:left w:val="none" w:sz="0" w:space="0" w:color="auto"/>
        <w:bottom w:val="none" w:sz="0" w:space="0" w:color="auto"/>
        <w:right w:val="none" w:sz="0" w:space="0" w:color="auto"/>
      </w:divBdr>
    </w:div>
    <w:div w:id="1377194685">
      <w:bodyDiv w:val="1"/>
      <w:marLeft w:val="0"/>
      <w:marRight w:val="0"/>
      <w:marTop w:val="0"/>
      <w:marBottom w:val="0"/>
      <w:divBdr>
        <w:top w:val="none" w:sz="0" w:space="0" w:color="auto"/>
        <w:left w:val="none" w:sz="0" w:space="0" w:color="auto"/>
        <w:bottom w:val="none" w:sz="0" w:space="0" w:color="auto"/>
        <w:right w:val="none" w:sz="0" w:space="0" w:color="auto"/>
      </w:divBdr>
    </w:div>
    <w:div w:id="1494948903">
      <w:bodyDiv w:val="1"/>
      <w:marLeft w:val="0"/>
      <w:marRight w:val="0"/>
      <w:marTop w:val="0"/>
      <w:marBottom w:val="0"/>
      <w:divBdr>
        <w:top w:val="none" w:sz="0" w:space="0" w:color="auto"/>
        <w:left w:val="none" w:sz="0" w:space="0" w:color="auto"/>
        <w:bottom w:val="none" w:sz="0" w:space="0" w:color="auto"/>
        <w:right w:val="none" w:sz="0" w:space="0" w:color="auto"/>
      </w:divBdr>
    </w:div>
    <w:div w:id="1653368734">
      <w:bodyDiv w:val="1"/>
      <w:marLeft w:val="0"/>
      <w:marRight w:val="0"/>
      <w:marTop w:val="0"/>
      <w:marBottom w:val="0"/>
      <w:divBdr>
        <w:top w:val="none" w:sz="0" w:space="0" w:color="auto"/>
        <w:left w:val="none" w:sz="0" w:space="0" w:color="auto"/>
        <w:bottom w:val="none" w:sz="0" w:space="0" w:color="auto"/>
        <w:right w:val="none" w:sz="0" w:space="0" w:color="auto"/>
      </w:divBdr>
    </w:div>
    <w:div w:id="1670211133">
      <w:bodyDiv w:val="1"/>
      <w:marLeft w:val="0"/>
      <w:marRight w:val="0"/>
      <w:marTop w:val="0"/>
      <w:marBottom w:val="0"/>
      <w:divBdr>
        <w:top w:val="none" w:sz="0" w:space="0" w:color="auto"/>
        <w:left w:val="none" w:sz="0" w:space="0" w:color="auto"/>
        <w:bottom w:val="none" w:sz="0" w:space="0" w:color="auto"/>
        <w:right w:val="none" w:sz="0" w:space="0" w:color="auto"/>
      </w:divBdr>
    </w:div>
    <w:div w:id="1720587528">
      <w:bodyDiv w:val="1"/>
      <w:marLeft w:val="0"/>
      <w:marRight w:val="0"/>
      <w:marTop w:val="0"/>
      <w:marBottom w:val="0"/>
      <w:divBdr>
        <w:top w:val="none" w:sz="0" w:space="0" w:color="auto"/>
        <w:left w:val="none" w:sz="0" w:space="0" w:color="auto"/>
        <w:bottom w:val="none" w:sz="0" w:space="0" w:color="auto"/>
        <w:right w:val="none" w:sz="0" w:space="0" w:color="auto"/>
      </w:divBdr>
    </w:div>
    <w:div w:id="1828278725">
      <w:bodyDiv w:val="1"/>
      <w:marLeft w:val="0"/>
      <w:marRight w:val="0"/>
      <w:marTop w:val="0"/>
      <w:marBottom w:val="0"/>
      <w:divBdr>
        <w:top w:val="none" w:sz="0" w:space="0" w:color="auto"/>
        <w:left w:val="none" w:sz="0" w:space="0" w:color="auto"/>
        <w:bottom w:val="none" w:sz="0" w:space="0" w:color="auto"/>
        <w:right w:val="none" w:sz="0" w:space="0" w:color="auto"/>
      </w:divBdr>
    </w:div>
    <w:div w:id="18666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alakkersuisut.gl/da/Naalakkersuisut/Departementer/Fiskeri-Fangst-og-Landbrug/Fiskeriafdelingen/TAC-og-kvoter"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9DC37-D03D-40BA-A4DA-A3FB501C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460</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NO</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HAPA</dc:creator>
  <cp:lastModifiedBy>David Lynge Frederiksen</cp:lastModifiedBy>
  <cp:revision>9</cp:revision>
  <cp:lastPrinted>2013-11-29T17:33:00Z</cp:lastPrinted>
  <dcterms:created xsi:type="dcterms:W3CDTF">2019-09-13T15:58:00Z</dcterms:created>
  <dcterms:modified xsi:type="dcterms:W3CDTF">2019-09-16T13:25:00Z</dcterms:modified>
</cp:coreProperties>
</file>