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1" w:rightFromText="141" w:vertAnchor="text" w:tblpY="1"/>
        <w:tblOverlap w:val="never"/>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tblGrid>
      <w:tr w:rsidR="00AD0C8A" w:rsidRPr="00B433B7" w:rsidTr="00551211">
        <w:trPr>
          <w:trHeight w:val="2750"/>
        </w:trPr>
        <w:tc>
          <w:tcPr>
            <w:tcW w:w="7513" w:type="dxa"/>
            <w:vAlign w:val="bottom"/>
          </w:tcPr>
          <w:p w:rsidR="00C70FE0" w:rsidRPr="00B433B7" w:rsidRDefault="00E759B9" w:rsidP="00C853E2">
            <w:pPr>
              <w:pStyle w:val="ForsideOverskrift"/>
            </w:pPr>
            <w:r>
              <w:t>Lavere registreringsafgift har givet danskerne mere bil for pengene</w:t>
            </w:r>
          </w:p>
        </w:tc>
      </w:tr>
      <w:tr w:rsidR="00C70FE0" w:rsidRPr="00B433B7" w:rsidTr="00551211">
        <w:tc>
          <w:tcPr>
            <w:tcW w:w="7513" w:type="dxa"/>
            <w:vAlign w:val="bottom"/>
          </w:tcPr>
          <w:p w:rsidR="00C70FE0" w:rsidRPr="00B433B7" w:rsidRDefault="00E759B9" w:rsidP="002874E1">
            <w:pPr>
              <w:pStyle w:val="Forsideunderrubrik"/>
            </w:pPr>
            <w:r>
              <w:rPr>
                <w:rFonts w:ascii="Republic DemiBold" w:hAnsi="Republic DemiBold"/>
              </w:rPr>
              <w:t>Registreringsafgift</w:t>
            </w:r>
            <w:r w:rsidR="00E9233F" w:rsidRPr="000E734E">
              <w:rPr>
                <w:rFonts w:ascii="Republic DemiBold" w:hAnsi="Republic DemiBold"/>
                <w:b/>
              </w:rPr>
              <w:t>:</w:t>
            </w:r>
            <w:r w:rsidR="00E9233F" w:rsidRPr="00B433B7">
              <w:t xml:space="preserve"> </w:t>
            </w:r>
            <w:r>
              <w:t xml:space="preserve">Siden 2015 er der gennemført en række lempelser af registreringsafgiften, som har givet danskerne mere bil for pengene. </w:t>
            </w:r>
            <w:r w:rsidR="007261CD">
              <w:br/>
            </w:r>
            <w:bookmarkStart w:id="0" w:name="_GoBack"/>
            <w:bookmarkEnd w:id="0"/>
            <w:r>
              <w:t>Bilkøberne har brugt en del af den lavere afgift til at bevæge sig højere op i bilsegmenterne</w:t>
            </w:r>
            <w:r w:rsidR="00D81EFA">
              <w:t>.</w:t>
            </w:r>
          </w:p>
        </w:tc>
      </w:tr>
    </w:tbl>
    <w:p w:rsidR="00F07C44" w:rsidRDefault="00F07C44" w:rsidP="00AB079F">
      <w:pPr>
        <w:spacing w:line="14" w:lineRule="exact"/>
      </w:pPr>
    </w:p>
    <w:tbl>
      <w:tblPr>
        <w:tblStyle w:val="Tabel-Gitter"/>
        <w:tblpPr w:leftFromText="142" w:rightFromText="142"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tblGrid>
      <w:tr w:rsidR="000E169A" w:rsidTr="000E169A">
        <w:tc>
          <w:tcPr>
            <w:tcW w:w="2268" w:type="dxa"/>
          </w:tcPr>
          <w:p w:rsidR="000E169A" w:rsidRDefault="00003320" w:rsidP="000E169A">
            <w:pPr>
              <w:pStyle w:val="DocumentName"/>
            </w:pPr>
            <w:r>
              <w:t>Aktuelle skattetal</w:t>
            </w:r>
          </w:p>
          <w:sdt>
            <w:sdtPr>
              <w:id w:val="-1291892355"/>
              <w:placeholder>
                <w:docPart w:val="12B00DD964324FDBBFEF2A47E6E15E4A"/>
              </w:placeholder>
              <w:date w:fullDate="2018-05-24T00:00:00Z">
                <w:dateFormat w:val="d. MMMM yyyy"/>
                <w:lid w:val="da-DK"/>
                <w:storeMappedDataAs w:val="dateTime"/>
                <w:calendar w:val="gregorian"/>
              </w:date>
            </w:sdtPr>
            <w:sdtEndPr/>
            <w:sdtContent>
              <w:p w:rsidR="000E169A" w:rsidRPr="000E169A" w:rsidRDefault="007261CD" w:rsidP="000E169A">
                <w:pPr>
                  <w:pStyle w:val="Template-Dato"/>
                </w:pPr>
                <w:r>
                  <w:t>24. maj 2018</w:t>
                </w:r>
              </w:p>
            </w:sdtContent>
          </w:sdt>
        </w:tc>
      </w:tr>
    </w:tbl>
    <w:p w:rsidR="00E759B9" w:rsidRDefault="00E759B9" w:rsidP="00E759B9">
      <w:r>
        <w:t xml:space="preserve">De seneste års lempelser og omlægninger af bilbeskatningen, </w:t>
      </w:r>
      <w:r w:rsidRPr="00007465">
        <w:rPr>
          <w:i/>
        </w:rPr>
        <w:t>jf. boks 1</w:t>
      </w:r>
      <w:r>
        <w:t>, har medvirket til at ændre danskernes bilforbrug og give danskerne mere bil for pengene.</w:t>
      </w:r>
    </w:p>
    <w:p w:rsidR="007E7D6A" w:rsidRDefault="007E7D6A" w:rsidP="00C70FE0"/>
    <w:p w:rsidR="00E759B9" w:rsidRDefault="00E759B9" w:rsidP="00C70FE0">
      <w:r>
        <w:t>Det skyldes ikke mindst, at den gennemsnitlige registreri</w:t>
      </w:r>
      <w:r w:rsidR="00F43C22">
        <w:t>ngsafgift i perioden fra 2015-</w:t>
      </w:r>
      <w:r>
        <w:t>18, hvor de tre bilpakker er blevet fremlagt og vedtaget, er blevet markant lavere.</w:t>
      </w:r>
    </w:p>
    <w:p w:rsidR="00E759B9" w:rsidRDefault="00E759B9" w:rsidP="00E759B9">
      <w:r>
        <w:t xml:space="preserve">Zoomer man eksempelvis ind på varianter af bilmodellen Volkswagen Passat betalte danskerne i den betragtede periode ca. 71.000 kr. mindre i registreringsafgift, </w:t>
      </w:r>
      <w:r w:rsidRPr="000B43FA">
        <w:rPr>
          <w:i/>
        </w:rPr>
        <w:t xml:space="preserve">jf. </w:t>
      </w:r>
      <w:r>
        <w:rPr>
          <w:i/>
        </w:rPr>
        <w:t>figur 1</w:t>
      </w:r>
      <w:r w:rsidRPr="000B43FA">
        <w:rPr>
          <w:i/>
        </w:rPr>
        <w:t>.</w:t>
      </w:r>
      <w:r>
        <w:t xml:space="preserve"> </w:t>
      </w:r>
    </w:p>
    <w:p w:rsidR="00E759B9" w:rsidRDefault="00E759B9" w:rsidP="00C70FE0"/>
    <w:p w:rsidR="00E759B9" w:rsidRPr="00E759B9" w:rsidRDefault="00E759B9" w:rsidP="00E759B9">
      <w:pPr>
        <w:sectPr w:rsidR="00E759B9" w:rsidRPr="00E759B9" w:rsidSect="00255DA6">
          <w:headerReference w:type="default" r:id="rId8"/>
          <w:footerReference w:type="default" r:id="rId9"/>
          <w:pgSz w:w="11906" w:h="16838" w:code="9"/>
          <w:pgMar w:top="1418" w:right="3119" w:bottom="1134" w:left="1134" w:header="567" w:footer="584" w:gutter="0"/>
          <w:pgNumType w:start="1"/>
          <w:cols w:num="2" w:space="227"/>
          <w:docGrid w:linePitch="360"/>
        </w:sectPr>
      </w:pPr>
      <w:r>
        <w:t>Det samme er tilfældet med en anden af de mest populære bilmodeller blandt danskerne, Citroen Grand C4 Picasso, som er faldet ca. 4</w:t>
      </w:r>
      <w:r w:rsidR="00C06203">
        <w:t>4</w:t>
      </w:r>
      <w:r>
        <w:t>.000 kr. i gennemsnitlig registreringsafgift.</w:t>
      </w:r>
    </w:p>
    <w:p w:rsidR="00E759B9" w:rsidRDefault="00E759B9" w:rsidP="00C8160E">
      <w:pPr>
        <w:spacing w:line="160" w:lineRule="atLeast"/>
      </w:pPr>
    </w:p>
    <w:tbl>
      <w:tblPr>
        <w:tblStyle w:val="SKM-Tabel-Bl"/>
        <w:tblW w:w="7656" w:type="dxa"/>
        <w:tblLayout w:type="fixed"/>
        <w:tblLook w:val="04A0" w:firstRow="1" w:lastRow="0" w:firstColumn="1" w:lastColumn="0" w:noHBand="0" w:noVBand="1"/>
      </w:tblPr>
      <w:tblGrid>
        <w:gridCol w:w="7656"/>
      </w:tblGrid>
      <w:tr w:rsidR="00E759B9" w:rsidTr="00F26D8D">
        <w:trPr>
          <w:cnfStyle w:val="100000000000" w:firstRow="1" w:lastRow="0" w:firstColumn="0" w:lastColumn="0" w:oddVBand="0" w:evenVBand="0" w:oddHBand="0" w:evenHBand="0" w:firstRowFirstColumn="0" w:firstRowLastColumn="0" w:lastRowFirstColumn="0" w:lastRowLastColumn="0"/>
        </w:trPr>
        <w:tc>
          <w:tcPr>
            <w:tcW w:w="7656" w:type="dxa"/>
            <w:vAlign w:val="center"/>
          </w:tcPr>
          <w:p w:rsidR="00E759B9" w:rsidRDefault="00E759B9" w:rsidP="00E759B9">
            <w:pPr>
              <w:pStyle w:val="Billedtekst"/>
            </w:pPr>
            <w:r>
              <w:t xml:space="preserve">Figur </w:t>
            </w:r>
            <w:fldSimple w:instr=" SEQ Figur \* ARABIC ">
              <w:r>
                <w:rPr>
                  <w:noProof/>
                </w:rPr>
                <w:t>1</w:t>
              </w:r>
            </w:fldSimple>
            <w:r>
              <w:rPr>
                <w:noProof/>
              </w:rPr>
              <w:t xml:space="preserve">. </w:t>
            </w:r>
            <w:r>
              <w:t>Gennemsnitlig registreringsafgift i perioden 2015-18</w:t>
            </w:r>
          </w:p>
        </w:tc>
      </w:tr>
      <w:tr w:rsidR="00E759B9" w:rsidRPr="00B96502" w:rsidTr="00F26D8D">
        <w:trPr>
          <w:trHeight w:hRule="exact" w:val="57"/>
        </w:trPr>
        <w:tc>
          <w:tcPr>
            <w:tcW w:w="7656" w:type="dxa"/>
            <w:shd w:val="clear" w:color="auto" w:fill="FFFFFF" w:themeFill="background1"/>
            <w:vAlign w:val="center"/>
          </w:tcPr>
          <w:p w:rsidR="00E759B9" w:rsidRPr="00B96502" w:rsidRDefault="00E759B9" w:rsidP="00B96502">
            <w:pPr>
              <w:pStyle w:val="Billedtekst"/>
              <w:spacing w:line="240" w:lineRule="auto"/>
              <w:rPr>
                <w:sz w:val="2"/>
                <w:szCs w:val="2"/>
              </w:rPr>
            </w:pPr>
          </w:p>
        </w:tc>
      </w:tr>
      <w:tr w:rsidR="00E759B9" w:rsidTr="00087601">
        <w:trPr>
          <w:trHeight w:hRule="exact" w:val="113"/>
        </w:trPr>
        <w:tc>
          <w:tcPr>
            <w:tcW w:w="7656" w:type="dxa"/>
            <w:shd w:val="clear" w:color="auto" w:fill="E3DCDB"/>
            <w:vAlign w:val="center"/>
          </w:tcPr>
          <w:p w:rsidR="00E759B9" w:rsidRPr="00A601C7" w:rsidRDefault="00E759B9" w:rsidP="00A601C7"/>
        </w:tc>
      </w:tr>
      <w:tr w:rsidR="00E759B9" w:rsidTr="00C06203">
        <w:tblPrEx>
          <w:tblCellMar>
            <w:left w:w="70" w:type="dxa"/>
            <w:right w:w="70" w:type="dxa"/>
          </w:tblCellMar>
        </w:tblPrEx>
        <w:tc>
          <w:tcPr>
            <w:tcW w:w="7656" w:type="dxa"/>
            <w:shd w:val="clear" w:color="auto" w:fill="E3DCDB"/>
          </w:tcPr>
          <w:p w:rsidR="00E759B9" w:rsidRPr="0066088F" w:rsidRDefault="00C06203" w:rsidP="00E759B9">
            <w:pPr>
              <w:tabs>
                <w:tab w:val="center" w:pos="3828"/>
              </w:tabs>
              <w:jc w:val="center"/>
            </w:pPr>
            <w:r>
              <w:rPr>
                <w:noProof/>
                <w:lang w:eastAsia="da-DK"/>
              </w:rPr>
              <w:drawing>
                <wp:inline distT="0" distB="0" distL="0" distR="0" wp14:anchorId="261BAC87" wp14:editId="7829F65A">
                  <wp:extent cx="4772660" cy="2400935"/>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E759B9" w:rsidTr="00087601">
        <w:trPr>
          <w:trHeight w:hRule="exact" w:val="113"/>
        </w:trPr>
        <w:tc>
          <w:tcPr>
            <w:tcW w:w="7656" w:type="dxa"/>
            <w:shd w:val="clear" w:color="auto" w:fill="E3DCDB"/>
          </w:tcPr>
          <w:p w:rsidR="00E759B9" w:rsidRPr="00404BF7" w:rsidRDefault="00E759B9" w:rsidP="003339C3"/>
        </w:tc>
      </w:tr>
      <w:tr w:rsidR="00E759B9" w:rsidTr="00F321E0">
        <w:trPr>
          <w:trHeight w:hRule="exact" w:val="57"/>
        </w:trPr>
        <w:tc>
          <w:tcPr>
            <w:tcW w:w="7656" w:type="dxa"/>
            <w:tcBorders>
              <w:bottom w:val="single" w:sz="8" w:space="0" w:color="14143C" w:themeColor="accent1"/>
            </w:tcBorders>
            <w:shd w:val="clear" w:color="auto" w:fill="FFFFFF" w:themeFill="background1"/>
          </w:tcPr>
          <w:p w:rsidR="00E759B9" w:rsidRPr="00B96502" w:rsidRDefault="00E759B9" w:rsidP="00B96502">
            <w:pPr>
              <w:rPr>
                <w:sz w:val="2"/>
                <w:szCs w:val="2"/>
              </w:rPr>
            </w:pPr>
          </w:p>
        </w:tc>
      </w:tr>
      <w:tr w:rsidR="00E759B9" w:rsidTr="00F321E0">
        <w:trPr>
          <w:trHeight w:val="284"/>
        </w:trPr>
        <w:tc>
          <w:tcPr>
            <w:tcW w:w="7656" w:type="dxa"/>
            <w:tcBorders>
              <w:top w:val="single" w:sz="8" w:space="0" w:color="14143C" w:themeColor="accent1"/>
            </w:tcBorders>
            <w:shd w:val="clear" w:color="auto" w:fill="auto"/>
          </w:tcPr>
          <w:p w:rsidR="00E759B9" w:rsidRPr="00404BF7" w:rsidRDefault="00E759B9" w:rsidP="003339C3">
            <w:pPr>
              <w:pStyle w:val="Billedtekstnedre"/>
            </w:pPr>
            <w:r>
              <w:t xml:space="preserve">Anm.: De udvalgte modeller er de mest solgte nyregistrerede bilmodeller i segmenterne </w:t>
            </w:r>
            <w:r w:rsidRPr="00753F01">
              <w:rPr>
                <w:i/>
              </w:rPr>
              <w:t xml:space="preserve">Stor, SUV </w:t>
            </w:r>
            <w:r w:rsidRPr="00753F01">
              <w:t>og</w:t>
            </w:r>
            <w:r w:rsidRPr="00753F01">
              <w:rPr>
                <w:i/>
              </w:rPr>
              <w:t xml:space="preserve"> MPV</w:t>
            </w:r>
            <w:r>
              <w:t xml:space="preserve"> i december 2017-februar 2018. For de enkelte bilmodeller er den gennemsnitlige registreringsafgift indh</w:t>
            </w:r>
            <w:r w:rsidR="00753F01">
              <w:t>entet fra DMR i december 2014-</w:t>
            </w:r>
            <w:r>
              <w:t>februar 2015 og december 20</w:t>
            </w:r>
            <w:r w:rsidR="00753F01">
              <w:t>17-</w:t>
            </w:r>
            <w:r>
              <w:t>februar 2018. Det bemærkes, at der for hver bilmodel findes mange forskellige varianter, som kan have andre gennemsnitlige afgiftsændringer, end de her viste. Tal er afrundet til nærmeste 1.000 kr.</w:t>
            </w:r>
            <w:r>
              <w:br/>
              <w:t>Kilde: Skatteministeriet, Bilstatistik.dk, Det Digitale Motorregister (DMR).</w:t>
            </w:r>
          </w:p>
        </w:tc>
      </w:tr>
    </w:tbl>
    <w:p w:rsidR="00E759B9" w:rsidRDefault="00E759B9" w:rsidP="0066088F">
      <w:pPr>
        <w:sectPr w:rsidR="00E759B9" w:rsidSect="00E759B9">
          <w:type w:val="continuous"/>
          <w:pgSz w:w="11906" w:h="16838" w:code="9"/>
          <w:pgMar w:top="1418" w:right="3119" w:bottom="1134" w:left="1134" w:header="567" w:footer="584" w:gutter="0"/>
          <w:pgNumType w:start="1"/>
          <w:cols w:space="227"/>
          <w:docGrid w:linePitch="360"/>
        </w:sectPr>
      </w:pPr>
    </w:p>
    <w:p w:rsidR="007E7D6A" w:rsidRPr="00B433B7" w:rsidRDefault="007E7D6A" w:rsidP="00862462">
      <w:pPr>
        <w:sectPr w:rsidR="007E7D6A" w:rsidRPr="00B433B7" w:rsidSect="00E759B9">
          <w:type w:val="continuous"/>
          <w:pgSz w:w="11906" w:h="16838" w:code="9"/>
          <w:pgMar w:top="1418" w:right="3119" w:bottom="1134" w:left="1134" w:header="567" w:footer="584" w:gutter="0"/>
          <w:pgNumType w:start="1"/>
          <w:cols w:num="2" w:space="227"/>
          <w:docGrid w:linePitch="360"/>
        </w:sectPr>
      </w:pPr>
    </w:p>
    <w:p w:rsidR="00E759B9" w:rsidRDefault="00E759B9" w:rsidP="00E759B9">
      <w:pPr>
        <w:pStyle w:val="Overskrift3"/>
      </w:pPr>
      <w:r>
        <w:lastRenderedPageBreak/>
        <w:t>Højere op i bilsegmenterne</w:t>
      </w:r>
    </w:p>
    <w:p w:rsidR="00E759B9" w:rsidRDefault="00E759B9" w:rsidP="00E759B9">
      <w:pPr>
        <w:rPr>
          <w:i/>
        </w:rPr>
      </w:pPr>
      <w:r>
        <w:t xml:space="preserve">Skiftet i bilforbruget afspejles bl.a. ved, at danskernes bilkøb i de øvre bilsegmenter er steget markant efter lempelserne af registreringsafgiften, </w:t>
      </w:r>
      <w:r w:rsidRPr="004742D3">
        <w:rPr>
          <w:i/>
        </w:rPr>
        <w:t xml:space="preserve">jf. figur </w:t>
      </w:r>
      <w:r>
        <w:rPr>
          <w:i/>
        </w:rPr>
        <w:t>2</w:t>
      </w:r>
      <w:r w:rsidRPr="004742D3">
        <w:rPr>
          <w:i/>
        </w:rPr>
        <w:t>.</w:t>
      </w:r>
      <w:r>
        <w:rPr>
          <w:i/>
        </w:rPr>
        <w:t xml:space="preserve"> </w:t>
      </w:r>
    </w:p>
    <w:p w:rsidR="00E759B9" w:rsidRDefault="00E759B9" w:rsidP="00E759B9">
      <w:pPr>
        <w:rPr>
          <w:i/>
        </w:rPr>
      </w:pPr>
    </w:p>
    <w:p w:rsidR="00E759B9" w:rsidRDefault="00BA73A2" w:rsidP="00E759B9">
      <w:r>
        <w:t>Bilkøbet i segmenterne</w:t>
      </w:r>
      <w:r w:rsidR="00E759B9">
        <w:t xml:space="preserve"> </w:t>
      </w:r>
      <w:r w:rsidR="00753F01">
        <w:rPr>
          <w:i/>
        </w:rPr>
        <w:t>s</w:t>
      </w:r>
      <w:r w:rsidR="00E759B9" w:rsidRPr="00BA73A2">
        <w:rPr>
          <w:i/>
        </w:rPr>
        <w:t>tor</w:t>
      </w:r>
      <w:r w:rsidR="00753F01">
        <w:t xml:space="preserve"> (herunder </w:t>
      </w:r>
      <w:r w:rsidR="00753F01">
        <w:rPr>
          <w:i/>
        </w:rPr>
        <w:t>p</w:t>
      </w:r>
      <w:r w:rsidR="00E759B9" w:rsidRPr="00753F01">
        <w:rPr>
          <w:i/>
        </w:rPr>
        <w:t>remium</w:t>
      </w:r>
      <w:r w:rsidR="00E759B9">
        <w:t>)</w:t>
      </w:r>
      <w:r>
        <w:t xml:space="preserve">, </w:t>
      </w:r>
      <w:r w:rsidRPr="00BA73A2">
        <w:rPr>
          <w:i/>
        </w:rPr>
        <w:t>SUV</w:t>
      </w:r>
      <w:r>
        <w:t xml:space="preserve"> og </w:t>
      </w:r>
      <w:r w:rsidRPr="00BA73A2">
        <w:rPr>
          <w:i/>
        </w:rPr>
        <w:t>MPV</w:t>
      </w:r>
      <w:r w:rsidR="00E759B9">
        <w:t xml:space="preserve"> udgjorde</w:t>
      </w:r>
      <w:r w:rsidR="0001761A">
        <w:t xml:space="preserve"> tilsammen</w:t>
      </w:r>
      <w:r w:rsidR="00E759B9">
        <w:t xml:space="preserve"> således </w:t>
      </w:r>
      <w:r>
        <w:t>ca. 45</w:t>
      </w:r>
      <w:r w:rsidR="00E759B9">
        <w:t xml:space="preserve"> pct. af samtlige bilkøb i perioden </w:t>
      </w:r>
      <w:r w:rsidR="00E759B9">
        <w:t>umiddelbart efter den seneste afgiftslempelse i september 2017.</w:t>
      </w:r>
    </w:p>
    <w:p w:rsidR="00E759B9" w:rsidRDefault="00E759B9" w:rsidP="00E759B9"/>
    <w:p w:rsidR="00E759B9" w:rsidRDefault="00E6566A" w:rsidP="00E759B9">
      <w:r>
        <w:t>Det er en stigning på knap</w:t>
      </w:r>
      <w:r w:rsidR="00E759B9">
        <w:t xml:space="preserve"> 20 pct.-point sammenlignet med perioden før den første af de tre seneste afgiftslempelser aftalt på Finansloven for 2016.</w:t>
      </w:r>
    </w:p>
    <w:p w:rsidR="00E759B9" w:rsidRDefault="00E759B9" w:rsidP="00E759B9"/>
    <w:p w:rsidR="00E759B9" w:rsidRDefault="00E759B9" w:rsidP="00E759B9">
      <w:pPr>
        <w:sectPr w:rsidR="00E759B9" w:rsidSect="002B7A24">
          <w:headerReference w:type="default" r:id="rId11"/>
          <w:footerReference w:type="default" r:id="rId12"/>
          <w:pgSz w:w="11906" w:h="16838" w:code="9"/>
          <w:pgMar w:top="1440" w:right="3119" w:bottom="936" w:left="1134" w:header="459" w:footer="584" w:gutter="0"/>
          <w:cols w:num="2" w:space="227"/>
          <w:docGrid w:linePitch="360"/>
        </w:sectPr>
      </w:pPr>
    </w:p>
    <w:p w:rsidR="00C8160E" w:rsidRDefault="00C8160E" w:rsidP="00C8160E">
      <w:pPr>
        <w:spacing w:line="240" w:lineRule="atLeast"/>
      </w:pPr>
    </w:p>
    <w:p w:rsidR="00E759B9" w:rsidRPr="00C8160E" w:rsidRDefault="00E759B9" w:rsidP="00C8160E">
      <w:pPr>
        <w:sectPr w:rsidR="00E759B9" w:rsidRPr="00C8160E" w:rsidSect="00E759B9">
          <w:type w:val="continuous"/>
          <w:pgSz w:w="11906" w:h="16838" w:code="9"/>
          <w:pgMar w:top="1440" w:right="3119" w:bottom="936" w:left="1134" w:header="459" w:footer="584" w:gutter="0"/>
          <w:cols w:space="227"/>
          <w:docGrid w:linePitch="360"/>
        </w:sectPr>
      </w:pPr>
    </w:p>
    <w:tbl>
      <w:tblPr>
        <w:tblStyle w:val="SKM-Tabel-Bl"/>
        <w:tblW w:w="7656" w:type="dxa"/>
        <w:tblLayout w:type="fixed"/>
        <w:tblLook w:val="04A0" w:firstRow="1" w:lastRow="0" w:firstColumn="1" w:lastColumn="0" w:noHBand="0" w:noVBand="1"/>
      </w:tblPr>
      <w:tblGrid>
        <w:gridCol w:w="7656"/>
      </w:tblGrid>
      <w:tr w:rsidR="00E759B9" w:rsidTr="00F26D8D">
        <w:trPr>
          <w:cnfStyle w:val="100000000000" w:firstRow="1" w:lastRow="0" w:firstColumn="0" w:lastColumn="0" w:oddVBand="0" w:evenVBand="0" w:oddHBand="0" w:evenHBand="0" w:firstRowFirstColumn="0" w:firstRowLastColumn="0" w:lastRowFirstColumn="0" w:lastRowLastColumn="0"/>
        </w:trPr>
        <w:tc>
          <w:tcPr>
            <w:tcW w:w="7656" w:type="dxa"/>
            <w:vAlign w:val="center"/>
          </w:tcPr>
          <w:p w:rsidR="00E759B9" w:rsidRDefault="00E759B9" w:rsidP="00F26D8D">
            <w:pPr>
              <w:pStyle w:val="Billedtekst"/>
            </w:pPr>
            <w:r>
              <w:t xml:space="preserve">Figur </w:t>
            </w:r>
            <w:fldSimple w:instr=" SEQ Figur \* ARABIC ">
              <w:r>
                <w:rPr>
                  <w:noProof/>
                </w:rPr>
                <w:t>2</w:t>
              </w:r>
            </w:fldSimple>
            <w:r>
              <w:rPr>
                <w:noProof/>
              </w:rPr>
              <w:t xml:space="preserve">. </w:t>
            </w:r>
            <w:r>
              <w:t>Danskernes bilkøb fordelt på udvalgte bilsegmenter</w:t>
            </w:r>
          </w:p>
        </w:tc>
      </w:tr>
      <w:tr w:rsidR="00E759B9" w:rsidRPr="00B96502" w:rsidTr="00F26D8D">
        <w:trPr>
          <w:trHeight w:hRule="exact" w:val="57"/>
        </w:trPr>
        <w:tc>
          <w:tcPr>
            <w:tcW w:w="7656" w:type="dxa"/>
            <w:shd w:val="clear" w:color="auto" w:fill="FFFFFF" w:themeFill="background1"/>
            <w:vAlign w:val="center"/>
          </w:tcPr>
          <w:p w:rsidR="00E759B9" w:rsidRPr="00B96502" w:rsidRDefault="00E759B9" w:rsidP="00B96502">
            <w:pPr>
              <w:pStyle w:val="Billedtekst"/>
              <w:spacing w:line="240" w:lineRule="auto"/>
              <w:rPr>
                <w:sz w:val="2"/>
                <w:szCs w:val="2"/>
              </w:rPr>
            </w:pPr>
          </w:p>
        </w:tc>
      </w:tr>
      <w:tr w:rsidR="00E759B9" w:rsidTr="00087601">
        <w:trPr>
          <w:trHeight w:hRule="exact" w:val="113"/>
        </w:trPr>
        <w:tc>
          <w:tcPr>
            <w:tcW w:w="7656" w:type="dxa"/>
            <w:shd w:val="clear" w:color="auto" w:fill="E3DCDB"/>
            <w:vAlign w:val="center"/>
          </w:tcPr>
          <w:p w:rsidR="00E759B9" w:rsidRPr="00A601C7" w:rsidRDefault="00E759B9" w:rsidP="00A601C7"/>
        </w:tc>
      </w:tr>
      <w:tr w:rsidR="00E759B9" w:rsidTr="00E759B9">
        <w:tc>
          <w:tcPr>
            <w:tcW w:w="7656" w:type="dxa"/>
            <w:shd w:val="clear" w:color="auto" w:fill="E3DCDB"/>
            <w:tcMar>
              <w:left w:w="0" w:type="dxa"/>
            </w:tcMar>
          </w:tcPr>
          <w:p w:rsidR="00E759B9" w:rsidRPr="0066088F" w:rsidRDefault="00E759B9" w:rsidP="002C524D">
            <w:pPr>
              <w:tabs>
                <w:tab w:val="center" w:pos="3828"/>
              </w:tabs>
              <w:jc w:val="center"/>
            </w:pPr>
            <w:r>
              <w:rPr>
                <w:noProof/>
                <w:lang w:eastAsia="da-DK"/>
              </w:rPr>
              <w:drawing>
                <wp:inline distT="0" distB="0" distL="0" distR="0" wp14:anchorId="5E5826BC" wp14:editId="76D2D87B">
                  <wp:extent cx="4156364" cy="259080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9B9" w:rsidTr="00087601">
        <w:trPr>
          <w:trHeight w:hRule="exact" w:val="113"/>
        </w:trPr>
        <w:tc>
          <w:tcPr>
            <w:tcW w:w="7656" w:type="dxa"/>
            <w:shd w:val="clear" w:color="auto" w:fill="E3DCDB"/>
          </w:tcPr>
          <w:p w:rsidR="00E759B9" w:rsidRPr="00404BF7" w:rsidRDefault="00E759B9" w:rsidP="003339C3"/>
        </w:tc>
      </w:tr>
      <w:tr w:rsidR="00E759B9" w:rsidTr="00F321E0">
        <w:trPr>
          <w:trHeight w:hRule="exact" w:val="57"/>
        </w:trPr>
        <w:tc>
          <w:tcPr>
            <w:tcW w:w="7656" w:type="dxa"/>
            <w:tcBorders>
              <w:bottom w:val="single" w:sz="8" w:space="0" w:color="14143C" w:themeColor="accent1"/>
            </w:tcBorders>
            <w:shd w:val="clear" w:color="auto" w:fill="FFFFFF" w:themeFill="background1"/>
          </w:tcPr>
          <w:p w:rsidR="00E759B9" w:rsidRPr="00B96502" w:rsidRDefault="00E759B9" w:rsidP="00B96502">
            <w:pPr>
              <w:rPr>
                <w:sz w:val="2"/>
                <w:szCs w:val="2"/>
              </w:rPr>
            </w:pPr>
          </w:p>
        </w:tc>
      </w:tr>
      <w:tr w:rsidR="00E759B9" w:rsidTr="00F321E0">
        <w:trPr>
          <w:trHeight w:val="284"/>
        </w:trPr>
        <w:tc>
          <w:tcPr>
            <w:tcW w:w="7656" w:type="dxa"/>
            <w:tcBorders>
              <w:top w:val="single" w:sz="8" w:space="0" w:color="14143C" w:themeColor="accent1"/>
            </w:tcBorders>
            <w:shd w:val="clear" w:color="auto" w:fill="auto"/>
          </w:tcPr>
          <w:p w:rsidR="00E759B9" w:rsidRPr="00404BF7" w:rsidRDefault="00E759B9" w:rsidP="00753F01">
            <w:pPr>
              <w:pStyle w:val="Billedtekstnedre"/>
            </w:pPr>
            <w:r>
              <w:t>Anm.: Figuren viser nyregistrerede personbiler fordelt på udvalgte bilse</w:t>
            </w:r>
            <w:r w:rsidR="00753F01">
              <w:t xml:space="preserve">gmenter for perioden december 2014-februar 2015 og december 2017-februar </w:t>
            </w:r>
            <w:r>
              <w:t xml:space="preserve">2018. </w:t>
            </w:r>
            <w:r w:rsidR="00753F01">
              <w:t xml:space="preserve">Bilsegmenterne </w:t>
            </w:r>
            <w:r w:rsidR="00753F01">
              <w:rPr>
                <w:i/>
              </w:rPr>
              <w:t>ø</w:t>
            </w:r>
            <w:r w:rsidR="00753F01" w:rsidRPr="00753F01">
              <w:rPr>
                <w:i/>
              </w:rPr>
              <w:t xml:space="preserve">vrige, </w:t>
            </w:r>
            <w:r w:rsidR="00753F01">
              <w:rPr>
                <w:i/>
              </w:rPr>
              <w:t>l</w:t>
            </w:r>
            <w:r w:rsidR="00753F01" w:rsidRPr="00753F01">
              <w:rPr>
                <w:i/>
              </w:rPr>
              <w:t>uksus</w:t>
            </w:r>
            <w:r w:rsidR="00753F01" w:rsidRPr="00753F01">
              <w:t xml:space="preserve"> og</w:t>
            </w:r>
            <w:r w:rsidR="00753F01" w:rsidRPr="00753F01">
              <w:rPr>
                <w:i/>
              </w:rPr>
              <w:t xml:space="preserve"> </w:t>
            </w:r>
            <w:r w:rsidR="00753F01">
              <w:rPr>
                <w:i/>
              </w:rPr>
              <w:t>s</w:t>
            </w:r>
            <w:r w:rsidR="00753F01" w:rsidRPr="00753F01">
              <w:rPr>
                <w:i/>
              </w:rPr>
              <w:t>port</w:t>
            </w:r>
            <w:r>
              <w:t xml:space="preserve"> er udeladt, da disse segmenter udgør en mindre og nogenlunde konstant andel af det samlede bilkøb </w:t>
            </w:r>
            <w:r w:rsidR="00753F01">
              <w:t xml:space="preserve">den betragtede periode. Segmentet </w:t>
            </w:r>
            <w:r w:rsidR="00753F01">
              <w:rPr>
                <w:i/>
              </w:rPr>
              <w:t>p</w:t>
            </w:r>
            <w:r w:rsidR="00753F01" w:rsidRPr="00753F01">
              <w:rPr>
                <w:i/>
              </w:rPr>
              <w:t>remium</w:t>
            </w:r>
            <w:r>
              <w:t xml:space="preserve"> er indeholdt i </w:t>
            </w:r>
            <w:r w:rsidR="00753F01">
              <w:t xml:space="preserve">segmentet </w:t>
            </w:r>
            <w:r w:rsidR="00753F01">
              <w:rPr>
                <w:i/>
              </w:rPr>
              <w:t>s</w:t>
            </w:r>
            <w:r w:rsidR="00753F01" w:rsidRPr="00753F01">
              <w:rPr>
                <w:i/>
              </w:rPr>
              <w:t>tor.</w:t>
            </w:r>
            <w:r w:rsidR="00753F01">
              <w:t xml:space="preserve"> </w:t>
            </w:r>
            <w:r w:rsidR="00753F01">
              <w:br/>
            </w:r>
            <w:r>
              <w:t>Kilde: Skatteministeriet, Bilstatistik.dk.</w:t>
            </w:r>
          </w:p>
        </w:tc>
      </w:tr>
    </w:tbl>
    <w:p w:rsidR="00E759B9" w:rsidRDefault="00E759B9" w:rsidP="00E759B9">
      <w:pPr>
        <w:spacing w:line="300" w:lineRule="exact"/>
        <w:sectPr w:rsidR="00E759B9" w:rsidSect="00E759B9">
          <w:type w:val="continuous"/>
          <w:pgSz w:w="11906" w:h="16838" w:code="9"/>
          <w:pgMar w:top="1440" w:right="3119" w:bottom="936" w:left="1134" w:header="459" w:footer="584" w:gutter="0"/>
          <w:cols w:space="227"/>
          <w:docGrid w:linePitch="360"/>
        </w:sectPr>
      </w:pPr>
      <w:bookmarkStart w:id="1" w:name="SD_InsertBreak"/>
      <w:bookmarkEnd w:id="1"/>
    </w:p>
    <w:p w:rsidR="00E759B9" w:rsidRDefault="00E6566A" w:rsidP="00E759B9">
      <w:r>
        <w:t xml:space="preserve">Eksempelvis </w:t>
      </w:r>
      <w:r w:rsidR="00E759B9">
        <w:t xml:space="preserve">udgjorde biler i bilsegmentet </w:t>
      </w:r>
      <w:r w:rsidR="00E759B9" w:rsidRPr="00CD6E45">
        <w:rPr>
          <w:i/>
        </w:rPr>
        <w:t>SUV</w:t>
      </w:r>
      <w:r w:rsidR="00E759B9">
        <w:t xml:space="preserve"> næsten 25 pct. af danskernes samlede bilkøb svarende til en stigning på ca. 17 pct.-point i den betragtede periode.  </w:t>
      </w:r>
    </w:p>
    <w:p w:rsidR="00E759B9" w:rsidRDefault="00E759B9" w:rsidP="00E759B9"/>
    <w:p w:rsidR="00E759B9" w:rsidRDefault="00E759B9" w:rsidP="00E759B9">
      <w:r>
        <w:t>Bilerne i de højere segmenter er typisk også mere trafiksikre. Eksempelvis får de i højere grad fradrag på baggrund af de såkaldte Euro NCAP sikkerhedstest.</w:t>
      </w:r>
      <w:r>
        <w:br w:type="column"/>
      </w:r>
      <w:r>
        <w:t>Mens der er sket en vækst i købet i de højere bilsegmenter, køber danskerne færre af de små og mellemstore biler.</w:t>
      </w:r>
    </w:p>
    <w:p w:rsidR="00E759B9" w:rsidRDefault="00E759B9" w:rsidP="00E759B9"/>
    <w:p w:rsidR="00E759B9" w:rsidRDefault="00E759B9" w:rsidP="00E759B9">
      <w:r>
        <w:t xml:space="preserve">Andelen af solgte biler i segmenterne </w:t>
      </w:r>
      <w:r w:rsidR="00753F01">
        <w:rPr>
          <w:i/>
        </w:rPr>
        <w:t>m</w:t>
      </w:r>
      <w:r w:rsidRPr="00CD6E45">
        <w:rPr>
          <w:i/>
        </w:rPr>
        <w:t>ikro</w:t>
      </w:r>
      <w:r>
        <w:t xml:space="preserve">, </w:t>
      </w:r>
      <w:r w:rsidRPr="00CD6E45">
        <w:rPr>
          <w:i/>
        </w:rPr>
        <w:t xml:space="preserve">lille </w:t>
      </w:r>
      <w:r>
        <w:t xml:space="preserve">og </w:t>
      </w:r>
      <w:r w:rsidRPr="00CD6E45">
        <w:rPr>
          <w:i/>
        </w:rPr>
        <w:t>mellem</w:t>
      </w:r>
      <w:r>
        <w:t xml:space="preserve"> er således faldet med ca. 20 pct.-point i den betragtede periode.</w:t>
      </w:r>
      <w:r>
        <w:rPr>
          <w:rStyle w:val="Fodnotehenvisning"/>
        </w:rPr>
        <w:footnoteReference w:id="1"/>
      </w:r>
    </w:p>
    <w:p w:rsidR="00E759B9" w:rsidRDefault="00E759B9" w:rsidP="00E759B9"/>
    <w:p w:rsidR="00E759B9" w:rsidRDefault="00E759B9" w:rsidP="00E759B9"/>
    <w:p w:rsidR="00E759B9" w:rsidRDefault="00E759B9" w:rsidP="00E759B9">
      <w:pPr>
        <w:spacing w:line="300" w:lineRule="exact"/>
        <w:sectPr w:rsidR="00E759B9" w:rsidSect="00E759B9">
          <w:type w:val="continuous"/>
          <w:pgSz w:w="11906" w:h="16838" w:code="9"/>
          <w:pgMar w:top="1440" w:right="3119" w:bottom="936" w:left="1134" w:header="459" w:footer="584" w:gutter="0"/>
          <w:cols w:num="2" w:space="227"/>
          <w:docGrid w:linePitch="360"/>
        </w:sectPr>
      </w:pPr>
    </w:p>
    <w:tbl>
      <w:tblPr>
        <w:tblStyle w:val="SKM-Tabel-Bl"/>
        <w:tblpPr w:leftFromText="141" w:rightFromText="141" w:vertAnchor="text" w:horzAnchor="margin" w:tblpY="-196"/>
        <w:tblW w:w="7642" w:type="dxa"/>
        <w:tblLayout w:type="fixed"/>
        <w:tblLook w:val="04A0" w:firstRow="1" w:lastRow="0" w:firstColumn="1" w:lastColumn="0" w:noHBand="0" w:noVBand="1"/>
      </w:tblPr>
      <w:tblGrid>
        <w:gridCol w:w="7642"/>
      </w:tblGrid>
      <w:tr w:rsidR="00E759B9" w:rsidTr="00E759B9">
        <w:trPr>
          <w:cnfStyle w:val="100000000000" w:firstRow="1" w:lastRow="0" w:firstColumn="0" w:lastColumn="0" w:oddVBand="0" w:evenVBand="0" w:oddHBand="0" w:evenHBand="0" w:firstRowFirstColumn="0" w:firstRowLastColumn="0" w:lastRowFirstColumn="0" w:lastRowLastColumn="0"/>
          <w:trHeight w:val="198"/>
        </w:trPr>
        <w:tc>
          <w:tcPr>
            <w:tcW w:w="7642" w:type="dxa"/>
            <w:vAlign w:val="center"/>
          </w:tcPr>
          <w:p w:rsidR="00E759B9" w:rsidRDefault="00E759B9" w:rsidP="00E759B9">
            <w:pPr>
              <w:pStyle w:val="Billedtekst"/>
            </w:pPr>
            <w:r>
              <w:lastRenderedPageBreak/>
              <w:t>Boks 1. Gennemførte lempelser af registreringsafgiften siden 2015</w:t>
            </w:r>
          </w:p>
        </w:tc>
      </w:tr>
      <w:tr w:rsidR="00E759B9" w:rsidRPr="00B96502" w:rsidTr="00E759B9">
        <w:trPr>
          <w:trHeight w:hRule="exact" w:val="37"/>
        </w:trPr>
        <w:tc>
          <w:tcPr>
            <w:tcW w:w="7642" w:type="dxa"/>
            <w:shd w:val="clear" w:color="auto" w:fill="FFFFFF" w:themeFill="background1"/>
            <w:vAlign w:val="center"/>
          </w:tcPr>
          <w:p w:rsidR="00E759B9" w:rsidRPr="00B96502" w:rsidRDefault="00E759B9" w:rsidP="00E759B9">
            <w:pPr>
              <w:pStyle w:val="Billedtekst"/>
              <w:spacing w:line="240" w:lineRule="auto"/>
              <w:rPr>
                <w:sz w:val="2"/>
                <w:szCs w:val="2"/>
              </w:rPr>
            </w:pPr>
          </w:p>
        </w:tc>
      </w:tr>
      <w:tr w:rsidR="00E759B9" w:rsidTr="00E759B9">
        <w:trPr>
          <w:trHeight w:hRule="exact" w:val="187"/>
        </w:trPr>
        <w:tc>
          <w:tcPr>
            <w:tcW w:w="7642" w:type="dxa"/>
            <w:shd w:val="clear" w:color="auto" w:fill="E3DCDB"/>
            <w:vAlign w:val="center"/>
          </w:tcPr>
          <w:p w:rsidR="00E759B9" w:rsidRPr="00A601C7" w:rsidRDefault="00E759B9" w:rsidP="00E759B9"/>
        </w:tc>
      </w:tr>
      <w:tr w:rsidR="00E759B9" w:rsidTr="00E759B9">
        <w:trPr>
          <w:trHeight w:val="1468"/>
        </w:trPr>
        <w:tc>
          <w:tcPr>
            <w:tcW w:w="7642" w:type="dxa"/>
            <w:shd w:val="clear" w:color="auto" w:fill="E3DCDB"/>
            <w:tcMar>
              <w:left w:w="0" w:type="dxa"/>
            </w:tcMar>
          </w:tcPr>
          <w:p w:rsidR="00E759B9" w:rsidRPr="00092F42" w:rsidRDefault="00E759B9" w:rsidP="00E759B9">
            <w:pPr>
              <w:pStyle w:val="Bokstekst"/>
              <w:rPr>
                <w:sz w:val="16"/>
                <w:szCs w:val="16"/>
              </w:rPr>
            </w:pPr>
            <w:r w:rsidRPr="00092F42">
              <w:rPr>
                <w:sz w:val="16"/>
                <w:szCs w:val="16"/>
              </w:rPr>
              <w:t>Registreringsafgiften er blevet lem</w:t>
            </w:r>
            <w:r w:rsidR="00753F01">
              <w:rPr>
                <w:sz w:val="16"/>
                <w:szCs w:val="16"/>
              </w:rPr>
              <w:t>pet tre gange i perioden 2015-</w:t>
            </w:r>
            <w:r w:rsidRPr="00092F42">
              <w:rPr>
                <w:sz w:val="16"/>
                <w:szCs w:val="16"/>
              </w:rPr>
              <w:t xml:space="preserve">18. Først blev den høje sats sat ned fra 180 pct. til 150 pct. som led i FL16. Dernæst blev grænsen for, hvornår en ny bil pålægges den høje sats – det såkaldte skalaknæk – forhøjet med 22.000 kr. for personbiler på FL17. </w:t>
            </w:r>
            <w:r>
              <w:rPr>
                <w:sz w:val="16"/>
                <w:szCs w:val="16"/>
              </w:rPr>
              <w:br/>
            </w:r>
            <w:r>
              <w:rPr>
                <w:sz w:val="16"/>
                <w:szCs w:val="16"/>
              </w:rPr>
              <w:br/>
            </w:r>
            <w:r w:rsidRPr="00092F42">
              <w:rPr>
                <w:sz w:val="16"/>
                <w:szCs w:val="16"/>
              </w:rPr>
              <w:t xml:space="preserve">Endelig blev registreringsafgiften lempet yderligere i forbindelse med </w:t>
            </w:r>
            <w:r w:rsidRPr="00753F01">
              <w:rPr>
                <w:i/>
                <w:sz w:val="16"/>
                <w:szCs w:val="16"/>
              </w:rPr>
              <w:t>Aftale om Omlægning af bilafgifterne</w:t>
            </w:r>
            <w:r w:rsidRPr="00092F42">
              <w:rPr>
                <w:sz w:val="16"/>
                <w:szCs w:val="16"/>
              </w:rPr>
              <w:t xml:space="preserve"> i september 2017. Blandt andet blev den lave sats sat ned fra 105 pct. til 85 pct., og skalaknækket hævet med yderligere 78.500 kr., så grænsen for, hvornår der skal betales høj sats udg</w:t>
            </w:r>
            <w:r w:rsidR="00753F01">
              <w:rPr>
                <w:sz w:val="16"/>
                <w:szCs w:val="16"/>
              </w:rPr>
              <w:t>jorde 185.100 kr. (2017-niveau).</w:t>
            </w:r>
          </w:p>
        </w:tc>
      </w:tr>
      <w:tr w:rsidR="00E759B9" w:rsidTr="00E759B9">
        <w:trPr>
          <w:trHeight w:hRule="exact" w:val="48"/>
        </w:trPr>
        <w:tc>
          <w:tcPr>
            <w:tcW w:w="7642" w:type="dxa"/>
            <w:shd w:val="clear" w:color="auto" w:fill="E3DCDB"/>
          </w:tcPr>
          <w:p w:rsidR="00E759B9" w:rsidRPr="00404BF7" w:rsidRDefault="00E759B9" w:rsidP="00E759B9"/>
        </w:tc>
      </w:tr>
      <w:tr w:rsidR="00E759B9" w:rsidTr="00E759B9">
        <w:trPr>
          <w:trHeight w:hRule="exact" w:val="48"/>
        </w:trPr>
        <w:tc>
          <w:tcPr>
            <w:tcW w:w="7642" w:type="dxa"/>
            <w:tcBorders>
              <w:bottom w:val="single" w:sz="8" w:space="0" w:color="14143C" w:themeColor="accent1"/>
            </w:tcBorders>
            <w:shd w:val="clear" w:color="auto" w:fill="FFFFFF" w:themeFill="background1"/>
          </w:tcPr>
          <w:p w:rsidR="00E759B9" w:rsidRPr="00B96502" w:rsidRDefault="00E759B9" w:rsidP="00E759B9">
            <w:pPr>
              <w:rPr>
                <w:sz w:val="2"/>
                <w:szCs w:val="2"/>
              </w:rPr>
            </w:pPr>
          </w:p>
        </w:tc>
      </w:tr>
      <w:tr w:rsidR="00E759B9" w:rsidTr="00E759B9">
        <w:trPr>
          <w:trHeight w:val="187"/>
        </w:trPr>
        <w:tc>
          <w:tcPr>
            <w:tcW w:w="7642" w:type="dxa"/>
            <w:tcBorders>
              <w:top w:val="single" w:sz="8" w:space="0" w:color="14143C" w:themeColor="accent1"/>
            </w:tcBorders>
            <w:shd w:val="clear" w:color="auto" w:fill="auto"/>
          </w:tcPr>
          <w:p w:rsidR="00E759B9" w:rsidRPr="00404BF7" w:rsidRDefault="00E759B9" w:rsidP="00E759B9">
            <w:pPr>
              <w:pStyle w:val="Billedtekstnedre"/>
            </w:pPr>
          </w:p>
        </w:tc>
      </w:tr>
    </w:tbl>
    <w:p w:rsidR="00E759B9" w:rsidRDefault="00E759B9" w:rsidP="00E759B9">
      <w:pPr>
        <w:spacing w:line="300" w:lineRule="exact"/>
      </w:pPr>
    </w:p>
    <w:p w:rsidR="00E759B9" w:rsidRDefault="00E759B9" w:rsidP="00E759B9">
      <w:pPr>
        <w:spacing w:line="300" w:lineRule="exact"/>
      </w:pPr>
    </w:p>
    <w:p w:rsidR="00E759B9" w:rsidRDefault="00E759B9" w:rsidP="0066088F"/>
    <w:p w:rsidR="00E759B9" w:rsidRDefault="00E759B9" w:rsidP="0066088F">
      <w:pPr>
        <w:sectPr w:rsidR="00E759B9" w:rsidSect="00E759B9">
          <w:pgSz w:w="11906" w:h="16838" w:code="9"/>
          <w:pgMar w:top="1440" w:right="3119" w:bottom="936" w:left="1134" w:header="459" w:footer="584" w:gutter="0"/>
          <w:cols w:space="227"/>
          <w:docGrid w:linePitch="360"/>
        </w:sectPr>
      </w:pPr>
    </w:p>
    <w:p w:rsidR="00E759B9" w:rsidRDefault="00E759B9" w:rsidP="00E759B9">
      <w:pPr>
        <w:spacing w:line="300" w:lineRule="exact"/>
      </w:pPr>
    </w:p>
    <w:p w:rsidR="00E759B9" w:rsidRDefault="00E759B9" w:rsidP="00E759B9">
      <w:pPr>
        <w:spacing w:line="280" w:lineRule="exact"/>
      </w:pPr>
    </w:p>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p w:rsidR="00E759B9" w:rsidRDefault="00E759B9" w:rsidP="00E759B9">
      <w:r>
        <w:t xml:space="preserve"> </w:t>
      </w:r>
    </w:p>
    <w:p w:rsidR="00E759B9" w:rsidRDefault="00E759B9" w:rsidP="00E759B9"/>
    <w:p w:rsidR="000E734E" w:rsidRPr="00B433B7" w:rsidRDefault="000E734E" w:rsidP="00B57984"/>
    <w:tbl>
      <w:tblPr>
        <w:tblStyle w:val="Tabel-Gitter"/>
        <w:tblpPr w:leftFromText="142" w:rightFromText="142" w:vertAnchor="page" w:horzAnchor="margin" w:tblpYSpec="bottom"/>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14"/>
        <w:gridCol w:w="227"/>
        <w:gridCol w:w="3714"/>
        <w:gridCol w:w="2552"/>
      </w:tblGrid>
      <w:tr w:rsidR="00276B63" w:rsidRPr="00B433B7" w:rsidTr="000E734E">
        <w:trPr>
          <w:cantSplit/>
          <w:trHeight w:hRule="exact" w:val="567"/>
        </w:trPr>
        <w:tc>
          <w:tcPr>
            <w:tcW w:w="7655" w:type="dxa"/>
            <w:gridSpan w:val="3"/>
            <w:tcBorders>
              <w:bottom w:val="single" w:sz="4" w:space="0" w:color="14143C"/>
            </w:tcBorders>
          </w:tcPr>
          <w:p w:rsidR="00276B63" w:rsidRPr="00B433B7" w:rsidRDefault="00276B63" w:rsidP="000E734E">
            <w:pPr>
              <w:keepNext/>
              <w:keepLines/>
            </w:pPr>
          </w:p>
        </w:tc>
        <w:tc>
          <w:tcPr>
            <w:tcW w:w="2552" w:type="dxa"/>
            <w:vMerge w:val="restart"/>
          </w:tcPr>
          <w:p w:rsidR="00276B63" w:rsidRPr="00B433B7" w:rsidRDefault="00276B63" w:rsidP="000E734E">
            <w:pPr>
              <w:keepNext/>
              <w:keepLines/>
            </w:pPr>
          </w:p>
        </w:tc>
      </w:tr>
      <w:tr w:rsidR="00276B63" w:rsidRPr="00B433B7" w:rsidTr="000E734E">
        <w:trPr>
          <w:cantSplit/>
          <w:trHeight w:hRule="exact" w:val="284"/>
        </w:trPr>
        <w:tc>
          <w:tcPr>
            <w:tcW w:w="3714" w:type="dxa"/>
            <w:tcBorders>
              <w:top w:val="single" w:sz="4" w:space="0" w:color="14143C"/>
            </w:tcBorders>
          </w:tcPr>
          <w:p w:rsidR="00276B63" w:rsidRPr="00B433B7" w:rsidRDefault="00276B63" w:rsidP="000E734E">
            <w:pPr>
              <w:keepNext/>
              <w:keepLines/>
            </w:pPr>
          </w:p>
        </w:tc>
        <w:tc>
          <w:tcPr>
            <w:tcW w:w="227" w:type="dxa"/>
            <w:tcBorders>
              <w:top w:val="single" w:sz="4" w:space="0" w:color="14143C"/>
            </w:tcBorders>
          </w:tcPr>
          <w:p w:rsidR="00276B63" w:rsidRPr="00B433B7" w:rsidRDefault="00276B63" w:rsidP="000E734E">
            <w:pPr>
              <w:keepNext/>
              <w:keepLines/>
            </w:pPr>
          </w:p>
        </w:tc>
        <w:tc>
          <w:tcPr>
            <w:tcW w:w="3714" w:type="dxa"/>
            <w:tcBorders>
              <w:top w:val="single" w:sz="4" w:space="0" w:color="14143C"/>
            </w:tcBorders>
          </w:tcPr>
          <w:p w:rsidR="00276B63" w:rsidRPr="00B433B7" w:rsidRDefault="00276B63" w:rsidP="000E734E">
            <w:pPr>
              <w:keepNext/>
              <w:keepLines/>
            </w:pPr>
          </w:p>
        </w:tc>
        <w:tc>
          <w:tcPr>
            <w:tcW w:w="2552" w:type="dxa"/>
            <w:vMerge/>
          </w:tcPr>
          <w:p w:rsidR="00276B63" w:rsidRPr="00B433B7" w:rsidRDefault="00276B63" w:rsidP="000E734E">
            <w:pPr>
              <w:keepNext/>
              <w:keepLines/>
            </w:pPr>
          </w:p>
        </w:tc>
      </w:tr>
      <w:tr w:rsidR="00276B63" w:rsidRPr="00B433B7" w:rsidTr="000E734E">
        <w:trPr>
          <w:cantSplit/>
        </w:trPr>
        <w:tc>
          <w:tcPr>
            <w:tcW w:w="3714" w:type="dxa"/>
          </w:tcPr>
          <w:p w:rsidR="00276B63" w:rsidRPr="00B433B7" w:rsidRDefault="00276B63" w:rsidP="000E734E">
            <w:pPr>
              <w:pStyle w:val="Afmelder"/>
              <w:keepNext/>
              <w:keepLines/>
            </w:pPr>
            <w:r w:rsidRPr="00B433B7">
              <w:t>Skatteministeriet/Ministry of Taxation</w:t>
            </w:r>
          </w:p>
          <w:p w:rsidR="00276B63" w:rsidRPr="00B433B7" w:rsidRDefault="00276B63" w:rsidP="000E734E">
            <w:pPr>
              <w:pStyle w:val="Afmelder"/>
              <w:keepNext/>
              <w:keepLines/>
            </w:pPr>
            <w:r w:rsidRPr="00B433B7">
              <w:t>Nicolai Eigtveds Gade 28</w:t>
            </w:r>
          </w:p>
          <w:p w:rsidR="00276B63" w:rsidRPr="00B433B7" w:rsidRDefault="00276B63" w:rsidP="000E734E">
            <w:pPr>
              <w:pStyle w:val="Afmelder"/>
              <w:keepNext/>
              <w:keepLines/>
            </w:pPr>
            <w:r w:rsidRPr="00B433B7">
              <w:t>DK 1402 – København K</w:t>
            </w:r>
          </w:p>
          <w:p w:rsidR="00276B63" w:rsidRPr="00B433B7" w:rsidRDefault="00276B63" w:rsidP="000E734E">
            <w:pPr>
              <w:pStyle w:val="Afmelder"/>
              <w:keepNext/>
              <w:keepLines/>
            </w:pPr>
          </w:p>
          <w:p w:rsidR="00276B63" w:rsidRPr="00F07C44" w:rsidRDefault="00276B63" w:rsidP="000E734E">
            <w:pPr>
              <w:pStyle w:val="Afmelder"/>
              <w:keepNext/>
              <w:keepLines/>
              <w:rPr>
                <w:lang w:val="nb-NO"/>
              </w:rPr>
            </w:pPr>
            <w:r w:rsidRPr="00F07C44">
              <w:rPr>
                <w:lang w:val="nb-NO"/>
              </w:rPr>
              <w:t>Telefon</w:t>
            </w:r>
            <w:r w:rsidRPr="00F07C44">
              <w:rPr>
                <w:lang w:val="nb-NO"/>
              </w:rPr>
              <w:tab/>
              <w:t>+45 3392 3392</w:t>
            </w:r>
          </w:p>
          <w:p w:rsidR="00276B63" w:rsidRPr="00F07C44" w:rsidRDefault="002F05C7" w:rsidP="000E734E">
            <w:pPr>
              <w:pStyle w:val="Afmelder"/>
              <w:keepNext/>
              <w:keepLines/>
              <w:rPr>
                <w:lang w:val="nb-NO"/>
              </w:rPr>
            </w:pPr>
            <w:r>
              <w:rPr>
                <w:lang w:val="nb-NO"/>
              </w:rPr>
              <w:t>Mail</w:t>
            </w:r>
            <w:r w:rsidR="00276B63" w:rsidRPr="00F07C44">
              <w:rPr>
                <w:lang w:val="nb-NO"/>
              </w:rPr>
              <w:tab/>
              <w:t>skm@skm.dk</w:t>
            </w:r>
          </w:p>
          <w:p w:rsidR="00276B63" w:rsidRPr="00F07C44" w:rsidRDefault="00276B63" w:rsidP="000E734E">
            <w:pPr>
              <w:pStyle w:val="Afmelder"/>
              <w:keepNext/>
              <w:keepLines/>
              <w:rPr>
                <w:rFonts w:ascii="Republic DemiBold" w:hAnsi="Republic DemiBold"/>
                <w:lang w:val="nb-NO"/>
              </w:rPr>
            </w:pPr>
            <w:r w:rsidRPr="00F07C44">
              <w:rPr>
                <w:rFonts w:ascii="Republic DemiBold" w:hAnsi="Republic DemiBold"/>
                <w:lang w:val="nb-NO"/>
              </w:rPr>
              <w:t>www.skm.dk</w:t>
            </w:r>
          </w:p>
        </w:tc>
        <w:tc>
          <w:tcPr>
            <w:tcW w:w="227" w:type="dxa"/>
          </w:tcPr>
          <w:p w:rsidR="00276B63" w:rsidRPr="00F07C44" w:rsidRDefault="00276B63" w:rsidP="000E734E">
            <w:pPr>
              <w:keepNext/>
              <w:keepLines/>
              <w:rPr>
                <w:lang w:val="nb-NO"/>
              </w:rPr>
            </w:pPr>
          </w:p>
        </w:tc>
        <w:tc>
          <w:tcPr>
            <w:tcW w:w="3714" w:type="dxa"/>
          </w:tcPr>
          <w:p w:rsidR="000E734E" w:rsidRPr="000E734E" w:rsidRDefault="000E734E" w:rsidP="000E734E">
            <w:pPr>
              <w:pStyle w:val="Afmelder"/>
            </w:pPr>
            <w:r w:rsidRPr="000E734E">
              <w:t>Skatteministeriet udgiver løbende mindre publikationer i formatet Aktuelle skattetal. Aktuelle skattetal sætter fokus på aktuelle skatteøkonomiske emner og er typisk bygget op omkring én nyhed.</w:t>
            </w:r>
          </w:p>
          <w:p w:rsidR="000E734E" w:rsidRPr="000E734E" w:rsidRDefault="000E734E" w:rsidP="000E734E">
            <w:pPr>
              <w:keepNext/>
              <w:keepLines/>
              <w:rPr>
                <w:rFonts w:ascii="Republic Light" w:hAnsi="Republic Light"/>
                <w:noProof/>
                <w:color w:val="14143C"/>
                <w:sz w:val="16"/>
              </w:rPr>
            </w:pPr>
          </w:p>
          <w:p w:rsidR="00276B63" w:rsidRPr="00B433B7" w:rsidRDefault="000E734E" w:rsidP="000E734E">
            <w:pPr>
              <w:pStyle w:val="Afmelder"/>
              <w:keepNext/>
              <w:keepLines/>
            </w:pPr>
            <w:r w:rsidRPr="000E734E">
              <w:t>Aktuelle skattetal henvender sig eksempelvis til journalister, undervisere, interesseorganisationer og andre med interesse for skattepolitik og skatteøkonomiske forhold.</w:t>
            </w:r>
          </w:p>
        </w:tc>
        <w:tc>
          <w:tcPr>
            <w:tcW w:w="2552" w:type="dxa"/>
            <w:vMerge/>
          </w:tcPr>
          <w:p w:rsidR="00276B63" w:rsidRPr="00B433B7" w:rsidRDefault="00276B63" w:rsidP="000E734E">
            <w:pPr>
              <w:keepNext/>
              <w:keepLines/>
            </w:pPr>
          </w:p>
        </w:tc>
      </w:tr>
      <w:tr w:rsidR="00276B63" w:rsidRPr="00B433B7" w:rsidTr="000E734E">
        <w:trPr>
          <w:cantSplit/>
          <w:trHeight w:hRule="exact" w:val="1134"/>
        </w:trPr>
        <w:tc>
          <w:tcPr>
            <w:tcW w:w="10207" w:type="dxa"/>
            <w:gridSpan w:val="4"/>
          </w:tcPr>
          <w:p w:rsidR="00276B63" w:rsidRPr="00B433B7" w:rsidRDefault="00276B63" w:rsidP="000E734E">
            <w:pPr>
              <w:pStyle w:val="Afmelder"/>
              <w:keepNext/>
              <w:keepLines/>
              <w:spacing w:before="320"/>
              <w:jc w:val="right"/>
            </w:pPr>
            <w:r w:rsidRPr="00B433B7">
              <w:rPr>
                <w:lang w:eastAsia="da-DK"/>
              </w:rPr>
              <w:drawing>
                <wp:inline distT="0" distB="0" distL="0" distR="0" wp14:anchorId="20A1C258" wp14:editId="78A95B58">
                  <wp:extent cx="1260000" cy="72578"/>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ste side grafik.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72578"/>
                          </a:xfrm>
                          <a:prstGeom prst="rect">
                            <a:avLst/>
                          </a:prstGeom>
                        </pic:spPr>
                      </pic:pic>
                    </a:graphicData>
                  </a:graphic>
                </wp:inline>
              </w:drawing>
            </w:r>
          </w:p>
        </w:tc>
      </w:tr>
    </w:tbl>
    <w:p w:rsidR="00714A35" w:rsidRDefault="00714A35" w:rsidP="002A13BB"/>
    <w:sectPr w:rsidR="00714A35" w:rsidSect="00E759B9">
      <w:type w:val="continuous"/>
      <w:pgSz w:w="11906" w:h="16838" w:code="9"/>
      <w:pgMar w:top="1440" w:right="3119" w:bottom="936" w:left="1134" w:header="459" w:footer="584"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E3" w:rsidRDefault="00BA3EE3" w:rsidP="009E4B94">
      <w:pPr>
        <w:spacing w:line="240" w:lineRule="auto"/>
      </w:pPr>
      <w:r>
        <w:separator/>
      </w:r>
    </w:p>
  </w:endnote>
  <w:endnote w:type="continuationSeparator" w:id="0">
    <w:p w:rsidR="00BA3EE3" w:rsidRDefault="00BA3EE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epublic">
    <w:panose1 w:val="02000506000000020004"/>
    <w:charset w:val="00"/>
    <w:family w:val="auto"/>
    <w:pitch w:val="variable"/>
    <w:sig w:usb0="800000AF" w:usb1="4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Republic DemiBold">
    <w:panose1 w:val="020007060000000200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Republic Light">
    <w:panose1 w:val="020003060000000200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epublic UltraLight">
    <w:altName w:val="Franklin Gothic Medium Cond"/>
    <w:panose1 w:val="0200020600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DC" w:rsidRDefault="005E75DC">
    <w:pPr>
      <w:pStyle w:val="Sidefod"/>
    </w:pPr>
  </w:p>
  <w:p w:rsidR="00954060" w:rsidRDefault="00954060">
    <w:pPr>
      <w:pStyle w:val="Sidefod"/>
    </w:pPr>
  </w:p>
  <w:p w:rsidR="005E75DC" w:rsidRDefault="005E75DC">
    <w:pPr>
      <w:pStyle w:val="Sidefod"/>
    </w:pPr>
  </w:p>
  <w:p w:rsidR="005E75DC" w:rsidRDefault="006301BC">
    <w:pPr>
      <w:pStyle w:val="Sidefod"/>
    </w:pPr>
    <w:r>
      <w:rPr>
        <w:noProof/>
        <w:lang w:eastAsia="da-DK"/>
      </w:rPr>
      <w:drawing>
        <wp:anchor distT="0" distB="0" distL="114300" distR="114300" simplePos="0" relativeHeight="251659264" behindDoc="1" locked="0" layoutInCell="1" allowOverlap="1" wp14:anchorId="6A3654C2" wp14:editId="415E82C0">
          <wp:simplePos x="0" y="0"/>
          <wp:positionH relativeFrom="page">
            <wp:posOffset>0</wp:posOffset>
          </wp:positionH>
          <wp:positionV relativeFrom="page">
            <wp:posOffset>9620885</wp:posOffset>
          </wp:positionV>
          <wp:extent cx="7595870" cy="1086485"/>
          <wp:effectExtent l="0" t="0" r="5080" b="0"/>
          <wp:wrapNone/>
          <wp:docPr id="3" name="Picture 3" descr="U:\Skatteministeriet\Jobs\4594_Pjece Word 2010\Received\Grafik\Aktuelle skattetal bundgrafi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katteministeriet\Jobs\4594_Pjece Word 2010\Received\Grafik\Aktuelle skattetal bundgrafi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0D59" w:rsidRDefault="003C0D5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43" w:rsidRDefault="009550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E3" w:rsidRDefault="00BA3EE3" w:rsidP="009E4B94">
      <w:pPr>
        <w:spacing w:line="240" w:lineRule="auto"/>
      </w:pPr>
      <w:r>
        <w:separator/>
      </w:r>
    </w:p>
  </w:footnote>
  <w:footnote w:type="continuationSeparator" w:id="0">
    <w:p w:rsidR="00BA3EE3" w:rsidRDefault="00BA3EE3" w:rsidP="009E4B94">
      <w:pPr>
        <w:spacing w:line="240" w:lineRule="auto"/>
      </w:pPr>
      <w:r>
        <w:continuationSeparator/>
      </w:r>
    </w:p>
  </w:footnote>
  <w:footnote w:id="1">
    <w:p w:rsidR="00E759B9" w:rsidRPr="00CD6E45" w:rsidRDefault="00E759B9" w:rsidP="00E759B9">
      <w:pPr>
        <w:pStyle w:val="Fodnotetekst"/>
        <w:keepNext/>
        <w:contextualSpacing/>
        <w:rPr>
          <w:sz w:val="14"/>
        </w:rPr>
      </w:pPr>
      <w:r>
        <w:rPr>
          <w:rStyle w:val="Fodnotehenvisning"/>
        </w:rPr>
        <w:footnoteRef/>
      </w:r>
      <w:r>
        <w:t xml:space="preserve"> </w:t>
      </w:r>
      <w:r w:rsidRPr="00CD6E45">
        <w:rPr>
          <w:sz w:val="14"/>
        </w:rPr>
        <w:t>En del af dette fald i a</w:t>
      </w:r>
      <w:r w:rsidR="00753F01">
        <w:rPr>
          <w:sz w:val="14"/>
        </w:rPr>
        <w:t>ntallet af nyregistreringer i perioden for så vidt angår biler i segmentet</w:t>
      </w:r>
      <w:r w:rsidRPr="00CD6E45">
        <w:rPr>
          <w:sz w:val="14"/>
        </w:rPr>
        <w:t xml:space="preserve"> </w:t>
      </w:r>
      <w:r w:rsidR="00753F01" w:rsidRPr="00753F01">
        <w:rPr>
          <w:i/>
          <w:sz w:val="14"/>
        </w:rPr>
        <w:t>mikro</w:t>
      </w:r>
      <w:r w:rsidR="00753F01">
        <w:rPr>
          <w:sz w:val="14"/>
        </w:rPr>
        <w:t xml:space="preserve"> </w:t>
      </w:r>
      <w:r w:rsidRPr="00CD6E45">
        <w:rPr>
          <w:sz w:val="14"/>
        </w:rPr>
        <w:t xml:space="preserve">skal også ses i lyset af, at der skete en hamstring af </w:t>
      </w:r>
      <w:r w:rsidR="00753F01">
        <w:rPr>
          <w:sz w:val="14"/>
        </w:rPr>
        <w:t>denne type biler</w:t>
      </w:r>
      <w:r w:rsidRPr="00CD6E45">
        <w:rPr>
          <w:sz w:val="14"/>
        </w:rPr>
        <w:t xml:space="preserve"> forud for</w:t>
      </w:r>
      <w:r>
        <w:rPr>
          <w:sz w:val="14"/>
        </w:rPr>
        <w:t xml:space="preserve"> udmøntningen af </w:t>
      </w:r>
      <w:r w:rsidR="00753F01">
        <w:rPr>
          <w:i/>
          <w:sz w:val="14"/>
        </w:rPr>
        <w:t>Aftale om Omlægning af b</w:t>
      </w:r>
      <w:r w:rsidRPr="00AF0AB3">
        <w:rPr>
          <w:i/>
          <w:sz w:val="14"/>
        </w:rPr>
        <w:t>ilafgifterne</w:t>
      </w:r>
      <w:r w:rsidRPr="00CD6E45">
        <w:rPr>
          <w:sz w:val="14"/>
        </w:rPr>
        <w:t xml:space="preserve"> fra </w:t>
      </w:r>
      <w:r>
        <w:rPr>
          <w:sz w:val="14"/>
        </w:rPr>
        <w:t>september</w:t>
      </w:r>
      <w:r w:rsidRPr="00CD6E45">
        <w:rPr>
          <w:sz w:val="14"/>
        </w:rPr>
        <w:t xml:space="preserve">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030" w:rsidRDefault="00955043">
    <w:pPr>
      <w:pStyle w:val="Sidehoved"/>
    </w:pPr>
    <w:r>
      <w:rPr>
        <w:noProof/>
        <w:lang w:eastAsia="da-DK"/>
      </w:rPr>
      <w:drawing>
        <wp:anchor distT="0" distB="0" distL="114300" distR="114300" simplePos="0" relativeHeight="251658240" behindDoc="0" locked="0" layoutInCell="1" allowOverlap="1" wp14:anchorId="5357C13D" wp14:editId="689D2DBB">
          <wp:simplePos x="0" y="0"/>
          <wp:positionH relativeFrom="page">
            <wp:posOffset>5581015</wp:posOffset>
          </wp:positionH>
          <wp:positionV relativeFrom="page">
            <wp:posOffset>504190</wp:posOffset>
          </wp:positionV>
          <wp:extent cx="1476000" cy="1371600"/>
          <wp:effectExtent l="0" t="0" r="0" b="0"/>
          <wp:wrapNone/>
          <wp:docPr id="4" name="Picture 4" descr="U:\Skatteministeriet\Jobs\4594_Pjece Word 2010\Received\Grafik\Kro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katteministeriet\Jobs\4594_Pjece Word 2010\Received\Grafik\Krone.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0288" behindDoc="0" locked="0" layoutInCell="1" allowOverlap="1" wp14:anchorId="70F04056" wp14:editId="4BE1288A">
          <wp:simplePos x="0" y="0"/>
          <wp:positionH relativeFrom="page">
            <wp:posOffset>5581015</wp:posOffset>
          </wp:positionH>
          <wp:positionV relativeFrom="page">
            <wp:posOffset>9652635</wp:posOffset>
          </wp:positionV>
          <wp:extent cx="1476000" cy="140400"/>
          <wp:effectExtent l="0" t="0" r="0" b="0"/>
          <wp:wrapNone/>
          <wp:docPr id="2" name="Picture 2" descr="U:\Skatteministeriet\Jobs\4594_Pjece Word 2010\Received\Grafik\Logo u kro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katteministeriet\Jobs\4594_Pjece Word 2010\Received\Grafik\Logo u krone.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000" cy="14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43" w:rsidRDefault="00626016" w:rsidP="00626016">
    <w:pPr>
      <w:pStyle w:val="Sidehoved"/>
    </w:pPr>
    <w:r>
      <w:rPr>
        <w:noProof/>
        <w:lang w:eastAsia="da-DK"/>
      </w:rPr>
      <mc:AlternateContent>
        <mc:Choice Requires="wps">
          <w:drawing>
            <wp:anchor distT="0" distB="0" distL="114300" distR="114300" simplePos="0" relativeHeight="251661312" behindDoc="0" locked="0" layoutInCell="1" allowOverlap="1" wp14:anchorId="7D13DE2A" wp14:editId="7E3EDB0E">
              <wp:simplePos x="0" y="0"/>
              <wp:positionH relativeFrom="page">
                <wp:posOffset>720090</wp:posOffset>
              </wp:positionH>
              <wp:positionV relativeFrom="page">
                <wp:posOffset>504190</wp:posOffset>
              </wp:positionV>
              <wp:extent cx="6480000" cy="0"/>
              <wp:effectExtent l="0" t="19050" r="16510" b="38100"/>
              <wp:wrapNone/>
              <wp:docPr id="9" name="Straight Connector 9"/>
              <wp:cNvGraphicFramePr/>
              <a:graphic xmlns:a="http://schemas.openxmlformats.org/drawingml/2006/main">
                <a:graphicData uri="http://schemas.microsoft.com/office/word/2010/wordprocessingShape">
                  <wps:wsp>
                    <wps:cNvCnPr/>
                    <wps:spPr>
                      <a:xfrm>
                        <a:off x="0" y="0"/>
                        <a:ext cx="6480000" cy="0"/>
                      </a:xfrm>
                      <a:prstGeom prst="line">
                        <a:avLst/>
                      </a:prstGeom>
                      <a:ln w="50800">
                        <a:solidFill>
                          <a:srgbClr val="D1C5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3946A" id="Straight Connector 9"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39.7pt" to="566.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" strokecolor="#d1c5c3" strokeweight="4pt">
              <w10:wrap anchorx="page" anchory="page"/>
            </v:line>
          </w:pict>
        </mc:Fallback>
      </mc:AlternateContent>
    </w:r>
    <w:fldSimple w:instr=" STYLEREF  &quot;Document Name&quot; ">
      <w:r w:rsidR="007261CD">
        <w:rPr>
          <w:noProof/>
        </w:rPr>
        <w:t>Aktuelle skattetal</w:t>
      </w:r>
    </w:fldSimple>
    <w:r>
      <w:tab/>
    </w:r>
    <w:r w:rsidRPr="00626016">
      <w:rPr>
        <w:rStyle w:val="Sidetal"/>
        <w:b/>
      </w:rPr>
      <w:fldChar w:fldCharType="begin"/>
    </w:r>
    <w:r w:rsidRPr="00626016">
      <w:rPr>
        <w:rStyle w:val="Sidetal"/>
      </w:rPr>
      <w:instrText>PAGE</w:instrText>
    </w:r>
    <w:r w:rsidRPr="00626016">
      <w:rPr>
        <w:rStyle w:val="Sidetal"/>
        <w:b/>
      </w:rPr>
      <w:fldChar w:fldCharType="separate"/>
    </w:r>
    <w:r w:rsidR="007261CD">
      <w:rPr>
        <w:rStyle w:val="Sidetal"/>
        <w:noProof/>
      </w:rPr>
      <w:t>2</w:t>
    </w:r>
    <w:r w:rsidRPr="00626016">
      <w:rPr>
        <w:rStyle w:val="Sidetal"/>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0CB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FA86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EE04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ACE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C82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6809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BA2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0E0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0"/>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B3"/>
    <w:rsid w:val="00003320"/>
    <w:rsid w:val="00004865"/>
    <w:rsid w:val="0000703F"/>
    <w:rsid w:val="0001534C"/>
    <w:rsid w:val="00017063"/>
    <w:rsid w:val="0001761A"/>
    <w:rsid w:val="0002656E"/>
    <w:rsid w:val="00030F87"/>
    <w:rsid w:val="000423FF"/>
    <w:rsid w:val="00045E50"/>
    <w:rsid w:val="00053FF5"/>
    <w:rsid w:val="00062109"/>
    <w:rsid w:val="00081169"/>
    <w:rsid w:val="0009244E"/>
    <w:rsid w:val="00094ABD"/>
    <w:rsid w:val="000A42E7"/>
    <w:rsid w:val="000B2946"/>
    <w:rsid w:val="000C4289"/>
    <w:rsid w:val="000C6781"/>
    <w:rsid w:val="000E169A"/>
    <w:rsid w:val="000E734E"/>
    <w:rsid w:val="000F3323"/>
    <w:rsid w:val="000F4D15"/>
    <w:rsid w:val="00115FBE"/>
    <w:rsid w:val="00121584"/>
    <w:rsid w:val="001278A8"/>
    <w:rsid w:val="00127940"/>
    <w:rsid w:val="00131F5D"/>
    <w:rsid w:val="0013244F"/>
    <w:rsid w:val="00153F40"/>
    <w:rsid w:val="001655F9"/>
    <w:rsid w:val="00165D2F"/>
    <w:rsid w:val="00175FB3"/>
    <w:rsid w:val="00182651"/>
    <w:rsid w:val="001A2678"/>
    <w:rsid w:val="001D6BD9"/>
    <w:rsid w:val="001E06E7"/>
    <w:rsid w:val="001E5C14"/>
    <w:rsid w:val="001E79D1"/>
    <w:rsid w:val="001F374B"/>
    <w:rsid w:val="00203DE6"/>
    <w:rsid w:val="002042B3"/>
    <w:rsid w:val="00207BEC"/>
    <w:rsid w:val="0021712C"/>
    <w:rsid w:val="002205FC"/>
    <w:rsid w:val="0022582F"/>
    <w:rsid w:val="00244D70"/>
    <w:rsid w:val="00255DA6"/>
    <w:rsid w:val="0026468A"/>
    <w:rsid w:val="00267514"/>
    <w:rsid w:val="00276B63"/>
    <w:rsid w:val="002870F4"/>
    <w:rsid w:val="002874E1"/>
    <w:rsid w:val="002913D8"/>
    <w:rsid w:val="002A13BB"/>
    <w:rsid w:val="002B7A24"/>
    <w:rsid w:val="002C258E"/>
    <w:rsid w:val="002C5141"/>
    <w:rsid w:val="002D00BC"/>
    <w:rsid w:val="002D75B0"/>
    <w:rsid w:val="002E2109"/>
    <w:rsid w:val="002E233E"/>
    <w:rsid w:val="002E30A1"/>
    <w:rsid w:val="002E6B15"/>
    <w:rsid w:val="002E74A4"/>
    <w:rsid w:val="002F05C7"/>
    <w:rsid w:val="003075A8"/>
    <w:rsid w:val="00336905"/>
    <w:rsid w:val="00351C70"/>
    <w:rsid w:val="00366D9B"/>
    <w:rsid w:val="00383173"/>
    <w:rsid w:val="003B2957"/>
    <w:rsid w:val="003B3030"/>
    <w:rsid w:val="003B35B0"/>
    <w:rsid w:val="003C0D59"/>
    <w:rsid w:val="003C4F9F"/>
    <w:rsid w:val="003C60F1"/>
    <w:rsid w:val="003D6A19"/>
    <w:rsid w:val="003F52AC"/>
    <w:rsid w:val="00404BF7"/>
    <w:rsid w:val="0040515E"/>
    <w:rsid w:val="00413F30"/>
    <w:rsid w:val="004141C6"/>
    <w:rsid w:val="00415896"/>
    <w:rsid w:val="00416196"/>
    <w:rsid w:val="00424709"/>
    <w:rsid w:val="00425F90"/>
    <w:rsid w:val="004325F9"/>
    <w:rsid w:val="0043757B"/>
    <w:rsid w:val="00440303"/>
    <w:rsid w:val="00446687"/>
    <w:rsid w:val="00446F0A"/>
    <w:rsid w:val="00454C79"/>
    <w:rsid w:val="00455537"/>
    <w:rsid w:val="00466136"/>
    <w:rsid w:val="00484640"/>
    <w:rsid w:val="00491D5C"/>
    <w:rsid w:val="00496B2B"/>
    <w:rsid w:val="004A5600"/>
    <w:rsid w:val="004B5150"/>
    <w:rsid w:val="004C01B2"/>
    <w:rsid w:val="004D0A20"/>
    <w:rsid w:val="004D46CB"/>
    <w:rsid w:val="004D5C40"/>
    <w:rsid w:val="004E5FA3"/>
    <w:rsid w:val="00503680"/>
    <w:rsid w:val="00504882"/>
    <w:rsid w:val="00517205"/>
    <w:rsid w:val="00522DA7"/>
    <w:rsid w:val="00525897"/>
    <w:rsid w:val="00530A82"/>
    <w:rsid w:val="00535188"/>
    <w:rsid w:val="005362E0"/>
    <w:rsid w:val="0053662E"/>
    <w:rsid w:val="00546077"/>
    <w:rsid w:val="00551211"/>
    <w:rsid w:val="00562DFF"/>
    <w:rsid w:val="00562F61"/>
    <w:rsid w:val="00563829"/>
    <w:rsid w:val="00570B5D"/>
    <w:rsid w:val="005770E2"/>
    <w:rsid w:val="005A28D4"/>
    <w:rsid w:val="005A3275"/>
    <w:rsid w:val="005B4028"/>
    <w:rsid w:val="005B5EAC"/>
    <w:rsid w:val="005C5F97"/>
    <w:rsid w:val="005C79A5"/>
    <w:rsid w:val="005D51D3"/>
    <w:rsid w:val="005E75DC"/>
    <w:rsid w:val="005F1580"/>
    <w:rsid w:val="005F3493"/>
    <w:rsid w:val="005F3ED8"/>
    <w:rsid w:val="00601146"/>
    <w:rsid w:val="00626016"/>
    <w:rsid w:val="006301BC"/>
    <w:rsid w:val="00642CBC"/>
    <w:rsid w:val="0064752E"/>
    <w:rsid w:val="00647856"/>
    <w:rsid w:val="00655B49"/>
    <w:rsid w:val="00681D83"/>
    <w:rsid w:val="006900C2"/>
    <w:rsid w:val="006949DA"/>
    <w:rsid w:val="006B0F61"/>
    <w:rsid w:val="006B30A9"/>
    <w:rsid w:val="0070267E"/>
    <w:rsid w:val="00703B3F"/>
    <w:rsid w:val="00706E32"/>
    <w:rsid w:val="00707273"/>
    <w:rsid w:val="0071002D"/>
    <w:rsid w:val="00710E2C"/>
    <w:rsid w:val="00713F98"/>
    <w:rsid w:val="00714A35"/>
    <w:rsid w:val="007154F3"/>
    <w:rsid w:val="007261CD"/>
    <w:rsid w:val="007327A9"/>
    <w:rsid w:val="00753F01"/>
    <w:rsid w:val="007546AF"/>
    <w:rsid w:val="00761C91"/>
    <w:rsid w:val="00765934"/>
    <w:rsid w:val="00770410"/>
    <w:rsid w:val="00775409"/>
    <w:rsid w:val="00783DDD"/>
    <w:rsid w:val="00786FCF"/>
    <w:rsid w:val="007A1B96"/>
    <w:rsid w:val="007D6494"/>
    <w:rsid w:val="007E0E19"/>
    <w:rsid w:val="007E2CF5"/>
    <w:rsid w:val="007E373C"/>
    <w:rsid w:val="007E7D6A"/>
    <w:rsid w:val="007F30D8"/>
    <w:rsid w:val="007F3119"/>
    <w:rsid w:val="007F4B60"/>
    <w:rsid w:val="00801F34"/>
    <w:rsid w:val="008041F3"/>
    <w:rsid w:val="00805B3D"/>
    <w:rsid w:val="00811279"/>
    <w:rsid w:val="00813501"/>
    <w:rsid w:val="00824115"/>
    <w:rsid w:val="008531FB"/>
    <w:rsid w:val="00861B3E"/>
    <w:rsid w:val="00862462"/>
    <w:rsid w:val="00864D45"/>
    <w:rsid w:val="008662D3"/>
    <w:rsid w:val="008704C8"/>
    <w:rsid w:val="00892D08"/>
    <w:rsid w:val="008930B4"/>
    <w:rsid w:val="00893791"/>
    <w:rsid w:val="008A2696"/>
    <w:rsid w:val="008B5B59"/>
    <w:rsid w:val="008D000A"/>
    <w:rsid w:val="008D2509"/>
    <w:rsid w:val="008D5A02"/>
    <w:rsid w:val="008E2ECE"/>
    <w:rsid w:val="008E4C26"/>
    <w:rsid w:val="008E5A6D"/>
    <w:rsid w:val="008E5AF2"/>
    <w:rsid w:val="008F32DF"/>
    <w:rsid w:val="008F49C2"/>
    <w:rsid w:val="008F4D20"/>
    <w:rsid w:val="00902C3D"/>
    <w:rsid w:val="009160A1"/>
    <w:rsid w:val="0092171B"/>
    <w:rsid w:val="00947BA0"/>
    <w:rsid w:val="00951B25"/>
    <w:rsid w:val="00954060"/>
    <w:rsid w:val="00955043"/>
    <w:rsid w:val="00983B74"/>
    <w:rsid w:val="00990263"/>
    <w:rsid w:val="009A08C6"/>
    <w:rsid w:val="009A2571"/>
    <w:rsid w:val="009A4CCC"/>
    <w:rsid w:val="009C2A55"/>
    <w:rsid w:val="009E4B94"/>
    <w:rsid w:val="009F18F2"/>
    <w:rsid w:val="009F2DC3"/>
    <w:rsid w:val="00A05C07"/>
    <w:rsid w:val="00A14E35"/>
    <w:rsid w:val="00A157DC"/>
    <w:rsid w:val="00A239DF"/>
    <w:rsid w:val="00A23ECE"/>
    <w:rsid w:val="00A262CF"/>
    <w:rsid w:val="00A3294F"/>
    <w:rsid w:val="00A32BF8"/>
    <w:rsid w:val="00A33A34"/>
    <w:rsid w:val="00A426C7"/>
    <w:rsid w:val="00A642B4"/>
    <w:rsid w:val="00A84787"/>
    <w:rsid w:val="00A85E4A"/>
    <w:rsid w:val="00A914C8"/>
    <w:rsid w:val="00AB079F"/>
    <w:rsid w:val="00AB149E"/>
    <w:rsid w:val="00AB29A0"/>
    <w:rsid w:val="00AB3463"/>
    <w:rsid w:val="00AB5B85"/>
    <w:rsid w:val="00AD043D"/>
    <w:rsid w:val="00AD0C8A"/>
    <w:rsid w:val="00AE1404"/>
    <w:rsid w:val="00AF1D02"/>
    <w:rsid w:val="00B00D92"/>
    <w:rsid w:val="00B167BF"/>
    <w:rsid w:val="00B316DB"/>
    <w:rsid w:val="00B31CF7"/>
    <w:rsid w:val="00B3465B"/>
    <w:rsid w:val="00B3548C"/>
    <w:rsid w:val="00B421B6"/>
    <w:rsid w:val="00B430B4"/>
    <w:rsid w:val="00B433B7"/>
    <w:rsid w:val="00B5082D"/>
    <w:rsid w:val="00B5346F"/>
    <w:rsid w:val="00B55392"/>
    <w:rsid w:val="00B57984"/>
    <w:rsid w:val="00B64C73"/>
    <w:rsid w:val="00B6504E"/>
    <w:rsid w:val="00B72BD6"/>
    <w:rsid w:val="00B93951"/>
    <w:rsid w:val="00B94063"/>
    <w:rsid w:val="00B9508F"/>
    <w:rsid w:val="00B96502"/>
    <w:rsid w:val="00B96937"/>
    <w:rsid w:val="00B96D2A"/>
    <w:rsid w:val="00BA3EE3"/>
    <w:rsid w:val="00BA73A2"/>
    <w:rsid w:val="00BC1294"/>
    <w:rsid w:val="00BC22A9"/>
    <w:rsid w:val="00BC590D"/>
    <w:rsid w:val="00BE7854"/>
    <w:rsid w:val="00C04F4E"/>
    <w:rsid w:val="00C052E7"/>
    <w:rsid w:val="00C06203"/>
    <w:rsid w:val="00C173F9"/>
    <w:rsid w:val="00C2782C"/>
    <w:rsid w:val="00C310A8"/>
    <w:rsid w:val="00C31791"/>
    <w:rsid w:val="00C51167"/>
    <w:rsid w:val="00C545AA"/>
    <w:rsid w:val="00C605DF"/>
    <w:rsid w:val="00C62DBD"/>
    <w:rsid w:val="00C70FE0"/>
    <w:rsid w:val="00C71C8E"/>
    <w:rsid w:val="00C8160E"/>
    <w:rsid w:val="00C853E2"/>
    <w:rsid w:val="00C85FD0"/>
    <w:rsid w:val="00C86D85"/>
    <w:rsid w:val="00CA61D4"/>
    <w:rsid w:val="00CB33DF"/>
    <w:rsid w:val="00CC0BE2"/>
    <w:rsid w:val="00CC6322"/>
    <w:rsid w:val="00CD5714"/>
    <w:rsid w:val="00CD6A8B"/>
    <w:rsid w:val="00CE262C"/>
    <w:rsid w:val="00CE5C53"/>
    <w:rsid w:val="00CF0379"/>
    <w:rsid w:val="00CF73BA"/>
    <w:rsid w:val="00D01E8B"/>
    <w:rsid w:val="00D02628"/>
    <w:rsid w:val="00D0360E"/>
    <w:rsid w:val="00D057CC"/>
    <w:rsid w:val="00D07CD7"/>
    <w:rsid w:val="00D243BB"/>
    <w:rsid w:val="00D26879"/>
    <w:rsid w:val="00D3786F"/>
    <w:rsid w:val="00D46453"/>
    <w:rsid w:val="00D66542"/>
    <w:rsid w:val="00D66E2C"/>
    <w:rsid w:val="00D67DFD"/>
    <w:rsid w:val="00D71156"/>
    <w:rsid w:val="00D7739B"/>
    <w:rsid w:val="00D81171"/>
    <w:rsid w:val="00D81EFA"/>
    <w:rsid w:val="00D96141"/>
    <w:rsid w:val="00DB31AF"/>
    <w:rsid w:val="00DB6E2D"/>
    <w:rsid w:val="00DB743D"/>
    <w:rsid w:val="00DC2AB9"/>
    <w:rsid w:val="00DC38FB"/>
    <w:rsid w:val="00DC54F2"/>
    <w:rsid w:val="00DD4A74"/>
    <w:rsid w:val="00DD610E"/>
    <w:rsid w:val="00DE2B28"/>
    <w:rsid w:val="00DF207D"/>
    <w:rsid w:val="00E05FF2"/>
    <w:rsid w:val="00E13E84"/>
    <w:rsid w:val="00E13F68"/>
    <w:rsid w:val="00E1438D"/>
    <w:rsid w:val="00E26493"/>
    <w:rsid w:val="00E370C3"/>
    <w:rsid w:val="00E434D1"/>
    <w:rsid w:val="00E47932"/>
    <w:rsid w:val="00E6566A"/>
    <w:rsid w:val="00E66240"/>
    <w:rsid w:val="00E7052E"/>
    <w:rsid w:val="00E759B9"/>
    <w:rsid w:val="00E75ED1"/>
    <w:rsid w:val="00E77742"/>
    <w:rsid w:val="00E82E29"/>
    <w:rsid w:val="00E9233F"/>
    <w:rsid w:val="00EA786F"/>
    <w:rsid w:val="00EB603A"/>
    <w:rsid w:val="00EC05F9"/>
    <w:rsid w:val="00ED56CF"/>
    <w:rsid w:val="00ED7096"/>
    <w:rsid w:val="00EE4C34"/>
    <w:rsid w:val="00EF0F9B"/>
    <w:rsid w:val="00EF55B3"/>
    <w:rsid w:val="00F002D7"/>
    <w:rsid w:val="00F05EEC"/>
    <w:rsid w:val="00F07C44"/>
    <w:rsid w:val="00F23AA3"/>
    <w:rsid w:val="00F26048"/>
    <w:rsid w:val="00F26552"/>
    <w:rsid w:val="00F2770A"/>
    <w:rsid w:val="00F321E0"/>
    <w:rsid w:val="00F34853"/>
    <w:rsid w:val="00F34E84"/>
    <w:rsid w:val="00F43C22"/>
    <w:rsid w:val="00F43DE5"/>
    <w:rsid w:val="00F45445"/>
    <w:rsid w:val="00F540A8"/>
    <w:rsid w:val="00F56E87"/>
    <w:rsid w:val="00F5772F"/>
    <w:rsid w:val="00F6027B"/>
    <w:rsid w:val="00F63834"/>
    <w:rsid w:val="00F871AF"/>
    <w:rsid w:val="00F87793"/>
    <w:rsid w:val="00F94967"/>
    <w:rsid w:val="00FA21AC"/>
    <w:rsid w:val="00FA55BD"/>
    <w:rsid w:val="00FA6475"/>
    <w:rsid w:val="00FC4E3D"/>
    <w:rsid w:val="00FC511D"/>
    <w:rsid w:val="00FC65A7"/>
    <w:rsid w:val="00FC6B3E"/>
    <w:rsid w:val="00FC7BB0"/>
    <w:rsid w:val="00FC7F59"/>
    <w:rsid w:val="00FD7192"/>
    <w:rsid w:val="00FE2C9C"/>
    <w:rsid w:val="00FF1AA2"/>
    <w:rsid w:val="00FF6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6EB6A-1F31-43AC-825A-CAD03662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c" w:eastAsiaTheme="minorHAnsi" w:hAnsi="Republic"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lsdException w:name="heading 2" w:uiPriority="9"/>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69A"/>
  </w:style>
  <w:style w:type="paragraph" w:styleId="Overskrift1">
    <w:name w:val="heading 1"/>
    <w:basedOn w:val="Normal"/>
    <w:next w:val="Normal"/>
    <w:link w:val="Overskrift1Tegn"/>
    <w:uiPriority w:val="1"/>
    <w:rsid w:val="00F07C44"/>
    <w:pPr>
      <w:keepNext/>
      <w:keepLines/>
      <w:pageBreakBefore/>
      <w:spacing w:after="620" w:line="560" w:lineRule="atLeast"/>
      <w:contextualSpacing/>
      <w:outlineLvl w:val="0"/>
    </w:pPr>
    <w:rPr>
      <w:rFonts w:ascii="Republic DemiBold" w:eastAsiaTheme="majorEastAsia" w:hAnsi="Republic DemiBold" w:cstheme="majorBidi"/>
      <w:bCs/>
      <w:color w:val="14143C"/>
      <w:sz w:val="52"/>
      <w:szCs w:val="28"/>
    </w:rPr>
  </w:style>
  <w:style w:type="paragraph" w:styleId="Overskrift2">
    <w:name w:val="heading 2"/>
    <w:basedOn w:val="Normal"/>
    <w:next w:val="Normal"/>
    <w:link w:val="Overskrift2Tegn"/>
    <w:uiPriority w:val="1"/>
    <w:rsid w:val="002A13BB"/>
    <w:pPr>
      <w:keepNext/>
      <w:keepLines/>
      <w:spacing w:before="560" w:after="280" w:line="320" w:lineRule="atLeast"/>
      <w:outlineLvl w:val="1"/>
    </w:pPr>
    <w:rPr>
      <w:rFonts w:ascii="Republic DemiBold" w:eastAsiaTheme="majorEastAsia" w:hAnsi="Republic DemiBold" w:cstheme="majorBidi"/>
      <w:bCs/>
      <w:color w:val="14143C" w:themeColor="accent1"/>
      <w:sz w:val="28"/>
      <w:szCs w:val="26"/>
    </w:rPr>
  </w:style>
  <w:style w:type="paragraph" w:styleId="Overskrift3">
    <w:name w:val="heading 3"/>
    <w:basedOn w:val="Normal"/>
    <w:next w:val="Normal"/>
    <w:link w:val="Overskrift3Tegn"/>
    <w:uiPriority w:val="1"/>
    <w:qFormat/>
    <w:rsid w:val="005770E2"/>
    <w:pPr>
      <w:keepNext/>
      <w:keepLines/>
      <w:contextualSpacing/>
      <w:outlineLvl w:val="2"/>
    </w:pPr>
    <w:rPr>
      <w:rFonts w:ascii="Republic DemiBold" w:eastAsiaTheme="majorEastAsia" w:hAnsi="Republic DemiBold" w:cstheme="majorBidi"/>
      <w:bCs/>
    </w:rPr>
  </w:style>
  <w:style w:type="paragraph" w:styleId="Overskrift4">
    <w:name w:val="heading 4"/>
    <w:basedOn w:val="Normal"/>
    <w:next w:val="Normal"/>
    <w:link w:val="Overskrift4Tegn"/>
    <w:uiPriority w:val="1"/>
    <w:rsid w:val="005770E2"/>
    <w:pPr>
      <w:keepNext/>
      <w:keepLines/>
      <w:outlineLvl w:val="3"/>
    </w:pPr>
    <w:rPr>
      <w:rFonts w:ascii="Republic DemiBold" w:eastAsiaTheme="majorEastAsia" w:hAnsi="Republic DemiBold" w:cstheme="majorBidi"/>
      <w:bCs/>
      <w:iCs/>
      <w:spacing w:val="5"/>
      <w:sz w:val="18"/>
    </w:rPr>
  </w:style>
  <w:style w:type="paragraph" w:styleId="Overskrift5">
    <w:name w:val="heading 5"/>
    <w:basedOn w:val="Overskrift4"/>
    <w:next w:val="Normal"/>
    <w:link w:val="Overskrift5Tegn"/>
    <w:uiPriority w:val="1"/>
    <w:semiHidden/>
    <w:rsid w:val="00EF0F9B"/>
    <w:pPr>
      <w:outlineLvl w:val="4"/>
    </w:pPr>
  </w:style>
  <w:style w:type="paragraph" w:styleId="Overskrift6">
    <w:name w:val="heading 6"/>
    <w:basedOn w:val="Overskrift5"/>
    <w:next w:val="Normal"/>
    <w:link w:val="Overskrift6Tegn"/>
    <w:uiPriority w:val="1"/>
    <w:semiHidden/>
    <w:rsid w:val="00EF0F9B"/>
    <w:pPr>
      <w:outlineLvl w:val="5"/>
    </w:pPr>
  </w:style>
  <w:style w:type="paragraph" w:styleId="Overskrift7">
    <w:name w:val="heading 7"/>
    <w:basedOn w:val="Overskrift6"/>
    <w:next w:val="Normal"/>
    <w:link w:val="Overskrift7Tegn"/>
    <w:uiPriority w:val="1"/>
    <w:semiHidden/>
    <w:rsid w:val="00EF0F9B"/>
    <w:pPr>
      <w:outlineLvl w:val="6"/>
    </w:pPr>
  </w:style>
  <w:style w:type="paragraph" w:styleId="Overskrift8">
    <w:name w:val="heading 8"/>
    <w:basedOn w:val="Overskrift7"/>
    <w:next w:val="Normal"/>
    <w:link w:val="Overskrift8Tegn"/>
    <w:uiPriority w:val="1"/>
    <w:semiHidden/>
    <w:rsid w:val="00EF0F9B"/>
    <w:pPr>
      <w:outlineLvl w:val="7"/>
    </w:pPr>
  </w:style>
  <w:style w:type="paragraph" w:styleId="Overskrift9">
    <w:name w:val="heading 9"/>
    <w:basedOn w:val="Overskrift8"/>
    <w:next w:val="Normal"/>
    <w:link w:val="Overskrift9Tegn"/>
    <w:uiPriority w:val="1"/>
    <w:semiHidden/>
    <w:rsid w:val="00EF0F9B"/>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rsid w:val="006301BC"/>
    <w:pPr>
      <w:tabs>
        <w:tab w:val="right" w:pos="10206"/>
      </w:tabs>
      <w:spacing w:line="160" w:lineRule="atLeast"/>
    </w:pPr>
    <w:rPr>
      <w:rFonts w:ascii="Republic DemiBold" w:hAnsi="Republic DemiBold"/>
      <w:color w:val="14143C"/>
      <w:sz w:val="14"/>
    </w:rPr>
  </w:style>
  <w:style w:type="character" w:customStyle="1" w:styleId="SidehovedTegn">
    <w:name w:val="Sidehoved Tegn"/>
    <w:basedOn w:val="Standardskrifttypeiafsnit"/>
    <w:link w:val="Sidehoved"/>
    <w:uiPriority w:val="21"/>
    <w:rsid w:val="006301BC"/>
    <w:rPr>
      <w:rFonts w:ascii="Republic DemiBold" w:hAnsi="Republic DemiBold"/>
      <w:color w:val="14143C"/>
      <w:sz w:val="14"/>
    </w:rPr>
  </w:style>
  <w:style w:type="paragraph" w:styleId="Sidefod">
    <w:name w:val="footer"/>
    <w:basedOn w:val="Normal"/>
    <w:link w:val="SidefodTegn"/>
    <w:uiPriority w:val="21"/>
    <w:rsid w:val="006301BC"/>
    <w:pPr>
      <w:tabs>
        <w:tab w:val="center" w:pos="4819"/>
        <w:tab w:val="right" w:pos="9638"/>
      </w:tabs>
      <w:spacing w:line="200" w:lineRule="atLeast"/>
    </w:pPr>
    <w:rPr>
      <w:rFonts w:ascii="Republic DemiBold" w:hAnsi="Republic DemiBold"/>
      <w:color w:val="FFFFFF" w:themeColor="background1"/>
    </w:rPr>
  </w:style>
  <w:style w:type="character" w:customStyle="1" w:styleId="SidefodTegn">
    <w:name w:val="Sidefod Tegn"/>
    <w:basedOn w:val="Standardskrifttypeiafsnit"/>
    <w:link w:val="Sidefod"/>
    <w:uiPriority w:val="21"/>
    <w:rsid w:val="006301BC"/>
    <w:rPr>
      <w:rFonts w:ascii="Republic DemiBold" w:hAnsi="Republic DemiBold"/>
      <w:color w:val="FFFFFF" w:themeColor="background1"/>
      <w:sz w:val="20"/>
    </w:rPr>
  </w:style>
  <w:style w:type="character" w:customStyle="1" w:styleId="Overskrift1Tegn">
    <w:name w:val="Overskrift 1 Tegn"/>
    <w:basedOn w:val="Standardskrifttypeiafsnit"/>
    <w:link w:val="Overskrift1"/>
    <w:uiPriority w:val="1"/>
    <w:rsid w:val="00F07C44"/>
    <w:rPr>
      <w:rFonts w:ascii="Republic DemiBold" w:eastAsiaTheme="majorEastAsia" w:hAnsi="Republic DemiBold" w:cstheme="majorBidi"/>
      <w:bCs/>
      <w:color w:val="14143C"/>
      <w:sz w:val="52"/>
      <w:szCs w:val="28"/>
    </w:rPr>
  </w:style>
  <w:style w:type="character" w:customStyle="1" w:styleId="Overskrift2Tegn">
    <w:name w:val="Overskrift 2 Tegn"/>
    <w:basedOn w:val="Standardskrifttypeiafsnit"/>
    <w:link w:val="Overskrift2"/>
    <w:uiPriority w:val="1"/>
    <w:rsid w:val="002A13BB"/>
    <w:rPr>
      <w:rFonts w:ascii="Republic DemiBold" w:eastAsiaTheme="majorEastAsia" w:hAnsi="Republic DemiBold" w:cstheme="majorBidi"/>
      <w:bCs/>
      <w:color w:val="14143C" w:themeColor="accent1"/>
      <w:sz w:val="28"/>
      <w:szCs w:val="26"/>
    </w:rPr>
  </w:style>
  <w:style w:type="character" w:customStyle="1" w:styleId="Overskrift3Tegn">
    <w:name w:val="Overskrift 3 Tegn"/>
    <w:basedOn w:val="Standardskrifttypeiafsnit"/>
    <w:link w:val="Overskrift3"/>
    <w:uiPriority w:val="1"/>
    <w:rsid w:val="005770E2"/>
    <w:rPr>
      <w:rFonts w:ascii="Republic DemiBold" w:eastAsiaTheme="majorEastAsia" w:hAnsi="Republic DemiBold" w:cstheme="majorBidi"/>
      <w:bCs/>
    </w:rPr>
  </w:style>
  <w:style w:type="character" w:customStyle="1" w:styleId="Overskrift4Tegn">
    <w:name w:val="Overskrift 4 Tegn"/>
    <w:basedOn w:val="Standardskrifttypeiafsnit"/>
    <w:link w:val="Overskrift4"/>
    <w:uiPriority w:val="1"/>
    <w:rsid w:val="005770E2"/>
    <w:rPr>
      <w:rFonts w:ascii="Republic DemiBold" w:eastAsiaTheme="majorEastAsia" w:hAnsi="Republic DemiBold" w:cstheme="majorBidi"/>
      <w:bCs/>
      <w:iCs/>
      <w:spacing w:val="5"/>
      <w:sz w:val="18"/>
    </w:rPr>
  </w:style>
  <w:style w:type="character" w:customStyle="1" w:styleId="Overskrift5Tegn">
    <w:name w:val="Overskrift 5 Tegn"/>
    <w:basedOn w:val="Standardskrifttypeiafsnit"/>
    <w:link w:val="Overskrift5"/>
    <w:uiPriority w:val="1"/>
    <w:semiHidden/>
    <w:rsid w:val="00EF0F9B"/>
    <w:rPr>
      <w:rFonts w:ascii="Arial" w:eastAsiaTheme="majorEastAsia" w:hAnsi="Arial" w:cstheme="majorBidi"/>
      <w:b/>
      <w:bCs/>
      <w:iCs/>
    </w:rPr>
  </w:style>
  <w:style w:type="character" w:customStyle="1" w:styleId="Overskrift6Tegn">
    <w:name w:val="Overskrift 6 Tegn"/>
    <w:basedOn w:val="Standardskrifttypeiafsnit"/>
    <w:link w:val="Overskrift6"/>
    <w:uiPriority w:val="1"/>
    <w:semiHidden/>
    <w:rsid w:val="00EF0F9B"/>
    <w:rPr>
      <w:rFonts w:ascii="Arial" w:eastAsiaTheme="majorEastAsia" w:hAnsi="Arial" w:cstheme="majorBidi"/>
      <w:b/>
      <w:bCs/>
      <w:iCs/>
    </w:rPr>
  </w:style>
  <w:style w:type="character" w:customStyle="1" w:styleId="Overskrift7Tegn">
    <w:name w:val="Overskrift 7 Tegn"/>
    <w:basedOn w:val="Standardskrifttypeiafsnit"/>
    <w:link w:val="Overskrift7"/>
    <w:uiPriority w:val="1"/>
    <w:semiHidden/>
    <w:rsid w:val="00EF0F9B"/>
    <w:rPr>
      <w:rFonts w:ascii="Arial" w:eastAsiaTheme="majorEastAsia" w:hAnsi="Arial" w:cstheme="majorBidi"/>
      <w:b/>
      <w:bCs/>
      <w:iCs/>
    </w:rPr>
  </w:style>
  <w:style w:type="character" w:customStyle="1" w:styleId="Overskrift8Tegn">
    <w:name w:val="Overskrift 8 Tegn"/>
    <w:basedOn w:val="Standardskrifttypeiafsnit"/>
    <w:link w:val="Overskrift8"/>
    <w:uiPriority w:val="1"/>
    <w:semiHidden/>
    <w:rsid w:val="00EF0F9B"/>
    <w:rPr>
      <w:rFonts w:ascii="Arial" w:eastAsiaTheme="majorEastAsia" w:hAnsi="Arial" w:cstheme="majorBidi"/>
      <w:b/>
      <w:bCs/>
      <w:iCs/>
    </w:rPr>
  </w:style>
  <w:style w:type="character" w:customStyle="1" w:styleId="Overskrift9Tegn">
    <w:name w:val="Overskrift 9 Tegn"/>
    <w:basedOn w:val="Standardskrifttypeiafsnit"/>
    <w:link w:val="Overskrift9"/>
    <w:uiPriority w:val="1"/>
    <w:semiHidden/>
    <w:rsid w:val="00EF0F9B"/>
    <w:rPr>
      <w:rFonts w:ascii="Arial" w:eastAsiaTheme="majorEastAsia" w:hAnsi="Arial" w:cstheme="majorBidi"/>
      <w:b/>
      <w:bCs/>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5A3275"/>
    <w:pPr>
      <w:spacing w:after="40" w:line="260" w:lineRule="atLeast"/>
      <w:ind w:left="57" w:right="57"/>
      <w:contextualSpacing/>
    </w:pPr>
    <w:rPr>
      <w:rFonts w:ascii="Arial" w:hAnsi="Arial"/>
      <w:b/>
      <w:bCs/>
      <w:color w:val="FFFFFF" w:themeColor="background1"/>
      <w:sz w:val="17"/>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8"/>
    <w:semiHidden/>
    <w:rsid w:val="002E74A4"/>
    <w:pPr>
      <w:spacing w:after="520"/>
      <w:outlineLvl w:val="9"/>
    </w:p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6301BC"/>
    <w:rPr>
      <w:rFonts w:ascii="Republic Light" w:hAnsi="Republic Light"/>
      <w:color w:val="14143C"/>
      <w:sz w:val="14"/>
    </w:rPr>
  </w:style>
  <w:style w:type="paragraph" w:customStyle="1" w:styleId="Hjrespaltetekst">
    <w:name w:val="Højrespalte tekst"/>
    <w:uiPriority w:val="8"/>
    <w:rsid w:val="00030F87"/>
    <w:pPr>
      <w:spacing w:line="220" w:lineRule="exact"/>
    </w:pPr>
    <w:rPr>
      <w:rFonts w:ascii="Arial" w:hAnsi="Arial"/>
      <w:noProof/>
      <w:color w:val="14143C"/>
      <w:spacing w:val="5"/>
      <w:sz w:val="14"/>
    </w:rPr>
  </w:style>
  <w:style w:type="paragraph" w:customStyle="1" w:styleId="Hjrespalte-Overskrift">
    <w:name w:val="Højrespalte - Overskrift"/>
    <w:basedOn w:val="Hjrespaltetekst"/>
    <w:next w:val="Hjrespaltetekst"/>
    <w:uiPriority w:val="7"/>
    <w:rsid w:val="00D66E2C"/>
    <w:pPr>
      <w:spacing w:line="280" w:lineRule="exact"/>
    </w:pPr>
    <w:rPr>
      <w:b/>
      <w:sz w:val="18"/>
    </w:rPr>
  </w:style>
  <w:style w:type="paragraph" w:customStyle="1" w:styleId="Hjrespalte-Fed">
    <w:name w:val="Højrespalte - Fed"/>
    <w:basedOn w:val="Hjrespaltetekst"/>
    <w:next w:val="Hjrespalte-Overskrift"/>
    <w:uiPriority w:val="7"/>
    <w:rsid w:val="00F6027B"/>
    <w:pPr>
      <w:tabs>
        <w:tab w:val="left" w:pos="567"/>
      </w:tabs>
      <w:spacing w:line="230" w:lineRule="exact"/>
    </w:pPr>
    <w:rPr>
      <w:b/>
      <w:spacing w:val="4"/>
    </w:rPr>
  </w:style>
  <w:style w:type="paragraph" w:styleId="Citatoverskrift">
    <w:name w:val="toa heading"/>
    <w:basedOn w:val="Normal"/>
    <w:next w:val="Normal"/>
    <w:uiPriority w:val="2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29"/>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1655F9"/>
    <w:pPr>
      <w:spacing w:before="40" w:after="40" w:line="240" w:lineRule="atLeast"/>
      <w:ind w:left="227" w:right="227"/>
    </w:pPr>
    <w:rPr>
      <w:rFonts w:ascii="Republic Light" w:hAnsi="Republic Light"/>
      <w:sz w:val="16"/>
    </w:rPr>
  </w:style>
  <w:style w:type="paragraph" w:customStyle="1" w:styleId="Tabel-KolonneOverskrift">
    <w:name w:val="Tabel - Kolonne Overskrift"/>
    <w:basedOn w:val="Tabel"/>
    <w:uiPriority w:val="10"/>
    <w:rsid w:val="001655F9"/>
    <w:rPr>
      <w:rFonts w:ascii="Republic DemiBold" w:hAnsi="Republic DemiBold"/>
    </w:rPr>
  </w:style>
  <w:style w:type="paragraph" w:customStyle="1" w:styleId="Tabel-TekstTotal">
    <w:name w:val="Tabel - Tekst Total"/>
    <w:basedOn w:val="Tabel-KolonneOverskrift"/>
    <w:uiPriority w:val="4"/>
    <w:rsid w:val="001655F9"/>
  </w:style>
  <w:style w:type="paragraph" w:customStyle="1" w:styleId="Tabel-Tal">
    <w:name w:val="Tabel - Tal"/>
    <w:basedOn w:val="Tabel"/>
    <w:uiPriority w:val="14"/>
    <w:rsid w:val="00893791"/>
    <w:pPr>
      <w:jc w:val="right"/>
    </w:pPr>
  </w:style>
  <w:style w:type="paragraph" w:customStyle="1" w:styleId="Tabel-TalTotal">
    <w:name w:val="Tabel - Tal Total"/>
    <w:basedOn w:val="Tabel-Tal"/>
    <w:uiPriority w:val="4"/>
    <w:rsid w:val="001655F9"/>
    <w:rPr>
      <w:rFonts w:ascii="Republic DemiBold" w:hAnsi="Republic DemiBold"/>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29"/>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7754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DocumentHeading">
    <w:name w:val="Document Heading"/>
    <w:basedOn w:val="Overskrift4"/>
    <w:uiPriority w:val="6"/>
    <w:semiHidden/>
    <w:rsid w:val="00AB5B85"/>
    <w:pPr>
      <w:spacing w:after="260"/>
    </w:pPr>
  </w:style>
  <w:style w:type="paragraph" w:customStyle="1" w:styleId="DocumentName">
    <w:name w:val="Document Name"/>
    <w:basedOn w:val="Normal"/>
    <w:uiPriority w:val="8"/>
    <w:rsid w:val="000E169A"/>
    <w:pPr>
      <w:spacing w:line="240" w:lineRule="atLeast"/>
    </w:pPr>
    <w:rPr>
      <w:rFonts w:ascii="Republic DemiBold" w:hAnsi="Republic DemiBold"/>
      <w:color w:val="FFFFFF" w:themeColor="background1"/>
    </w:rPr>
  </w:style>
  <w:style w:type="paragraph" w:customStyle="1" w:styleId="Template-Dato">
    <w:name w:val="Template - Dato"/>
    <w:basedOn w:val="Hjrespaltetekst"/>
    <w:uiPriority w:val="8"/>
    <w:rsid w:val="006301BC"/>
    <w:rPr>
      <w:rFonts w:ascii="Republic Light" w:hAnsi="Republic Light"/>
      <w:color w:val="FFFFFF" w:themeColor="background1"/>
      <w:sz w:val="20"/>
    </w:rPr>
  </w:style>
  <w:style w:type="paragraph" w:styleId="Markeringsbobletekst">
    <w:name w:val="Balloon Text"/>
    <w:basedOn w:val="Normal"/>
    <w:link w:val="MarkeringsbobletekstTegn"/>
    <w:uiPriority w:val="99"/>
    <w:semiHidden/>
    <w:rsid w:val="000070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703F"/>
    <w:rPr>
      <w:rFonts w:ascii="Tahoma" w:hAnsi="Tahoma" w:cs="Tahoma"/>
      <w:sz w:val="16"/>
      <w:szCs w:val="16"/>
    </w:rPr>
  </w:style>
  <w:style w:type="character" w:styleId="Hyperlink">
    <w:name w:val="Hyperlink"/>
    <w:basedOn w:val="Standardskrifttypeiafsnit"/>
    <w:uiPriority w:val="21"/>
    <w:semiHidden/>
    <w:rsid w:val="00504882"/>
    <w:rPr>
      <w:color w:val="0000FF" w:themeColor="hyperlink"/>
      <w:u w:val="single"/>
    </w:rPr>
  </w:style>
  <w:style w:type="paragraph" w:customStyle="1" w:styleId="SmtekstRegular">
    <w:name w:val="Småtekst  Regular"/>
    <w:basedOn w:val="Normal"/>
    <w:next w:val="Normal"/>
    <w:uiPriority w:val="2"/>
    <w:rsid w:val="00A33A34"/>
    <w:rPr>
      <w:rFonts w:ascii="Republic Light" w:hAnsi="Republic Light"/>
      <w:spacing w:val="5"/>
      <w:sz w:val="16"/>
    </w:rPr>
  </w:style>
  <w:style w:type="paragraph" w:customStyle="1" w:styleId="SmtekstFed">
    <w:name w:val="Småtekst Fed"/>
    <w:basedOn w:val="SmtekstRegular"/>
    <w:next w:val="SmtekstRegular"/>
    <w:uiPriority w:val="2"/>
    <w:rsid w:val="00A33A34"/>
    <w:rPr>
      <w:rFonts w:ascii="Republic DemiBold" w:hAnsi="Republic DemiBold"/>
    </w:rPr>
  </w:style>
  <w:style w:type="paragraph" w:customStyle="1" w:styleId="Tabel-KolonneOverskriftHvid">
    <w:name w:val="Tabel - Kolonne Overskrift Hvid"/>
    <w:basedOn w:val="Tabel-KolonneOverskrift"/>
    <w:uiPriority w:val="10"/>
    <w:rsid w:val="00B6504E"/>
    <w:rPr>
      <w:color w:val="FFFFFF" w:themeColor="background1"/>
    </w:rPr>
  </w:style>
  <w:style w:type="paragraph" w:customStyle="1" w:styleId="Tabel-BrdtekstArial">
    <w:name w:val="Tabel - Brødtekst (Arial)"/>
    <w:basedOn w:val="Tabel"/>
    <w:uiPriority w:val="11"/>
    <w:rsid w:val="00D7739B"/>
    <w:pPr>
      <w:contextualSpacing/>
    </w:pPr>
    <w:rPr>
      <w:rFonts w:ascii="Arial" w:hAnsi="Arial"/>
    </w:rPr>
  </w:style>
  <w:style w:type="table" w:customStyle="1" w:styleId="SKM-Tabel-Bl">
    <w:name w:val="SKM - Tabel - Blå"/>
    <w:basedOn w:val="Tabel-Normal"/>
    <w:uiPriority w:val="99"/>
    <w:rsid w:val="00131F5D"/>
    <w:pPr>
      <w:spacing w:line="240" w:lineRule="auto"/>
    </w:pPr>
    <w:tblPr>
      <w:tblCellMar>
        <w:left w:w="0" w:type="dxa"/>
        <w:right w:w="0" w:type="dxa"/>
      </w:tblCellMar>
    </w:tblPr>
    <w:tcPr>
      <w:shd w:val="clear" w:color="auto" w:fill="D2CED8"/>
    </w:tcPr>
    <w:tblStylePr w:type="firstRow">
      <w:rPr>
        <w:rFonts w:ascii="Arial" w:hAnsi="Arial"/>
        <w:sz w:val="22"/>
      </w:rPr>
      <w:tblPr/>
      <w:tcPr>
        <w:shd w:val="clear" w:color="auto" w:fill="14143C" w:themeFill="accent1"/>
      </w:tcPr>
    </w:tblStylePr>
  </w:style>
  <w:style w:type="table" w:styleId="Lysskygge-farve1">
    <w:name w:val="Light Shading Accent 1"/>
    <w:basedOn w:val="Tabel-Normal"/>
    <w:uiPriority w:val="60"/>
    <w:rsid w:val="00530A82"/>
    <w:pPr>
      <w:spacing w:line="240" w:lineRule="auto"/>
    </w:pPr>
    <w:rPr>
      <w:color w:val="0F0F2C" w:themeColor="accent1" w:themeShade="BF"/>
    </w:rPr>
    <w:tblPr>
      <w:tblStyleRowBandSize w:val="1"/>
      <w:tblStyleColBandSize w:val="1"/>
      <w:tblBorders>
        <w:top w:val="single" w:sz="8" w:space="0" w:color="14143C" w:themeColor="accent1"/>
        <w:bottom w:val="single" w:sz="8" w:space="0" w:color="14143C" w:themeColor="accent1"/>
      </w:tblBorders>
    </w:tblPr>
    <w:tblStylePr w:type="fir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lastRow">
      <w:pPr>
        <w:spacing w:before="0" w:after="0" w:line="240" w:lineRule="auto"/>
      </w:pPr>
      <w:rPr>
        <w:b/>
        <w:bCs/>
      </w:rPr>
      <w:tblPr/>
      <w:tcPr>
        <w:tcBorders>
          <w:top w:val="single" w:sz="8" w:space="0" w:color="14143C" w:themeColor="accent1"/>
          <w:left w:val="nil"/>
          <w:bottom w:val="single" w:sz="8" w:space="0" w:color="1414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AFE4" w:themeFill="accent1" w:themeFillTint="3F"/>
      </w:tcPr>
    </w:tblStylePr>
    <w:tblStylePr w:type="band1Horz">
      <w:tblPr/>
      <w:tcPr>
        <w:tcBorders>
          <w:left w:val="nil"/>
          <w:right w:val="nil"/>
          <w:insideH w:val="nil"/>
          <w:insideV w:val="nil"/>
        </w:tcBorders>
        <w:shd w:val="clear" w:color="auto" w:fill="AFAFE4" w:themeFill="accent1" w:themeFillTint="3F"/>
      </w:tcPr>
    </w:tblStylePr>
  </w:style>
  <w:style w:type="paragraph" w:customStyle="1" w:styleId="Billedtekstnedre">
    <w:name w:val="Billedtekst nedre"/>
    <w:basedOn w:val="Normal"/>
    <w:next w:val="Normal"/>
    <w:uiPriority w:val="3"/>
    <w:qFormat/>
    <w:rsid w:val="00DC54F2"/>
    <w:pPr>
      <w:spacing w:before="120" w:line="150" w:lineRule="atLeast"/>
    </w:pPr>
    <w:rPr>
      <w:rFonts w:ascii="Arial" w:hAnsi="Arial"/>
      <w:color w:val="14143C"/>
      <w:sz w:val="14"/>
    </w:rPr>
  </w:style>
  <w:style w:type="paragraph" w:customStyle="1" w:styleId="Tabel-Brdtekstmedafstandptekst">
    <w:name w:val="Tabel - Brødtekst med afstand på tekst"/>
    <w:basedOn w:val="Tabel-BrdtekstArial"/>
    <w:uiPriority w:val="4"/>
    <w:rsid w:val="001655F9"/>
    <w:pPr>
      <w:spacing w:before="280" w:after="280"/>
    </w:pPr>
    <w:rPr>
      <w:rFonts w:ascii="Republic Light" w:hAnsi="Republic Light"/>
      <w:sz w:val="22"/>
    </w:rPr>
  </w:style>
  <w:style w:type="paragraph" w:customStyle="1" w:styleId="Tabel-Brdtekst">
    <w:name w:val="Tabel - Brødtekst"/>
    <w:basedOn w:val="Tabel"/>
    <w:uiPriority w:val="4"/>
    <w:rsid w:val="001655F9"/>
    <w:pPr>
      <w:contextualSpacing/>
    </w:pPr>
  </w:style>
  <w:style w:type="paragraph" w:customStyle="1" w:styleId="ForsideOverskrift">
    <w:name w:val="Forside Overskrift"/>
    <w:basedOn w:val="Normal"/>
    <w:uiPriority w:val="5"/>
    <w:rsid w:val="00761C91"/>
    <w:pPr>
      <w:spacing w:line="520" w:lineRule="atLeast"/>
    </w:pPr>
    <w:rPr>
      <w:rFonts w:ascii="Republic DemiBold" w:hAnsi="Republic DemiBold"/>
      <w:color w:val="14143C"/>
      <w:sz w:val="52"/>
    </w:rPr>
  </w:style>
  <w:style w:type="paragraph" w:customStyle="1" w:styleId="Forsideunderrubrik">
    <w:name w:val="Forside underrubrik"/>
    <w:basedOn w:val="Normal"/>
    <w:uiPriority w:val="5"/>
    <w:rsid w:val="00AB079F"/>
    <w:pPr>
      <w:spacing w:before="360" w:after="400" w:line="360" w:lineRule="atLeast"/>
      <w:contextualSpacing/>
    </w:pPr>
    <w:rPr>
      <w:rFonts w:ascii="Republic UltraLight" w:hAnsi="Republic UltraLight"/>
      <w:color w:val="14143C"/>
      <w:sz w:val="28"/>
    </w:rPr>
  </w:style>
  <w:style w:type="paragraph" w:customStyle="1" w:styleId="CitatStor">
    <w:name w:val="Citat Stor"/>
    <w:basedOn w:val="Normal"/>
    <w:uiPriority w:val="3"/>
    <w:qFormat/>
    <w:rsid w:val="00B94063"/>
    <w:pPr>
      <w:spacing w:before="80" w:after="60" w:line="680" w:lineRule="atLeast"/>
      <w:contextualSpacing/>
    </w:pPr>
    <w:rPr>
      <w:rFonts w:ascii="Republic Light" w:hAnsi="Republic Light"/>
      <w:color w:val="D1C5C3"/>
      <w:sz w:val="64"/>
      <w:lang w:val="en-US"/>
    </w:rPr>
  </w:style>
  <w:style w:type="paragraph" w:customStyle="1" w:styleId="CitatLille">
    <w:name w:val="Citat Lille"/>
    <w:basedOn w:val="Normal"/>
    <w:uiPriority w:val="3"/>
    <w:rsid w:val="002D00BC"/>
    <w:pPr>
      <w:spacing w:before="120" w:after="120" w:line="400" w:lineRule="atLeast"/>
      <w:contextualSpacing/>
    </w:pPr>
    <w:rPr>
      <w:rFonts w:ascii="Republic DemiBold" w:hAnsi="Republic DemiBold"/>
      <w:color w:val="D1C5C3"/>
      <w:sz w:val="32"/>
      <w:lang w:val="en-US"/>
    </w:rPr>
  </w:style>
  <w:style w:type="paragraph" w:customStyle="1" w:styleId="Afmelder">
    <w:name w:val="Afmelder"/>
    <w:basedOn w:val="Normal"/>
    <w:uiPriority w:val="6"/>
    <w:rsid w:val="00CF0379"/>
    <w:pPr>
      <w:tabs>
        <w:tab w:val="left" w:pos="680"/>
      </w:tabs>
      <w:spacing w:line="240" w:lineRule="atLeast"/>
    </w:pPr>
    <w:rPr>
      <w:rFonts w:ascii="Republic Light" w:hAnsi="Republic Light"/>
      <w:noProof/>
      <w:color w:val="14143C"/>
      <w:sz w:val="16"/>
    </w:rPr>
  </w:style>
  <w:style w:type="table" w:customStyle="1" w:styleId="SKM-Tabel-Bl1">
    <w:name w:val="SKM - Tabel - Blå1"/>
    <w:basedOn w:val="Tabel-Normal"/>
    <w:uiPriority w:val="99"/>
    <w:rsid w:val="00714A35"/>
    <w:pPr>
      <w:spacing w:line="240" w:lineRule="auto"/>
    </w:pPr>
    <w:tblPr>
      <w:tblCellMar>
        <w:left w:w="0" w:type="dxa"/>
        <w:right w:w="0" w:type="dxa"/>
      </w:tblCellMar>
    </w:tblPr>
    <w:tcPr>
      <w:shd w:val="clear" w:color="auto" w:fill="D2CED8"/>
    </w:tcPr>
    <w:tblStylePr w:type="firstRow">
      <w:rPr>
        <w:rFonts w:ascii="Arial" w:hAnsi="Arial"/>
        <w:sz w:val="22"/>
      </w:rPr>
      <w:tblPr/>
      <w:tcPr>
        <w:shd w:val="clear" w:color="auto" w:fill="14143C" w:themeFill="accent1"/>
      </w:tcPr>
    </w:tblStylePr>
  </w:style>
  <w:style w:type="paragraph" w:customStyle="1" w:styleId="Bokstekst">
    <w:name w:val="Boks tekst"/>
    <w:basedOn w:val="SmtekstRegular"/>
    <w:uiPriority w:val="4"/>
    <w:qFormat/>
    <w:rsid w:val="000E734E"/>
    <w:pPr>
      <w:ind w:left="284" w:right="284"/>
    </w:pPr>
    <w:rPr>
      <w:sz w:val="18"/>
      <w:szCs w:val="22"/>
    </w:rPr>
  </w:style>
  <w:style w:type="character" w:styleId="Fodnotehenvisning">
    <w:name w:val="footnote reference"/>
    <w:basedOn w:val="Standardskrifttypeiafsnit"/>
    <w:uiPriority w:val="21"/>
    <w:semiHidden/>
    <w:unhideWhenUsed/>
    <w:rsid w:val="00E759B9"/>
    <w:rPr>
      <w:vertAlign w:val="superscript"/>
    </w:rPr>
  </w:style>
  <w:style w:type="character" w:styleId="Linjenummer">
    <w:name w:val="line number"/>
    <w:basedOn w:val="Standardskrifttypeiafsnit"/>
    <w:uiPriority w:val="99"/>
    <w:semiHidden/>
    <w:unhideWhenUsed/>
    <w:rsid w:val="00E7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20603\AppData\Local\cBrain\F2\.tmp\b6dd7a9359eb4af0aee117f69b1e635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ta.dk\Skat\Departementet\Lovgivning%20og%20&#216;konomi\Milj&#248;%20-%20Energi%20og%20Motor\Kasper%20S.%20Werlauff\Publikationer%20og%20papirer\Akuelle%20skattetal\10%20mest%20solgte%20biler%202015%20-%20feb%202018\aktuelle%20skattetal%20kw%2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regneark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62980760281445"/>
          <c:y val="8.0169989262700567E-2"/>
          <c:w val="0.76914843791869547"/>
          <c:h val="0.58804654280048074"/>
        </c:manualLayout>
      </c:layout>
      <c:barChart>
        <c:barDir val="col"/>
        <c:grouping val="stacked"/>
        <c:varyColors val="0"/>
        <c:ser>
          <c:idx val="1"/>
          <c:order val="0"/>
          <c:tx>
            <c:strRef>
              <c:f>tabel!$C$104</c:f>
              <c:strCache>
                <c:ptCount val="1"/>
                <c:pt idx="0">
                  <c:v>Registreringsafgift</c:v>
                </c:pt>
              </c:strCache>
            </c:strRef>
          </c:tx>
          <c:spPr>
            <a:solidFill>
              <a:srgbClr val="72728A"/>
            </a:solidFill>
            <a:ln>
              <a:noFill/>
            </a:ln>
            <a:effectLst/>
            <a:extLst/>
          </c:spPr>
          <c:invertIfNegative val="0"/>
          <c:dLbls>
            <c:dLbl>
              <c:idx val="0"/>
              <c:layout>
                <c:manualLayout>
                  <c:x val="1.670304434347519E-5"/>
                  <c:y val="-0.2890596977629590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1478857330433107"/>
                </c:manualLayout>
              </c:layout>
              <c:tx>
                <c:rich>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Arial"/>
                        <a:ea typeface="Arial"/>
                        <a:cs typeface="Arial"/>
                      </a:defRPr>
                    </a:pPr>
                    <a:fld id="{B455B89F-74B5-4FBE-85FC-A01965A3380D}" type="VALUE">
                      <a:rPr lang="en-US" sz="700"/>
                      <a:pPr>
                        <a:defRPr/>
                      </a:pPr>
                      <a:t>[VÆRDI]</a:t>
                    </a:fld>
                    <a:endParaRPr lang="da-DK"/>
                  </a:p>
                </c:rich>
              </c:tx>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0"/>
                  <c:y val="-0.2632262898954031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9648727124525017"/>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4.5220704249656449E-17"/>
                  <c:y val="-0.19247994261018539"/>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9.905293738572495E-6"/>
                  <c:y val="-0.1492998854478154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25775348013348"/>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2.9715881215717488E-5"/>
                  <c:y val="-0.11387753458618446"/>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2.4666123623504057E-3"/>
                  <c:y val="-0.220150119608217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9.0441408499312899E-17"/>
                  <c:y val="-0.18864565631455471"/>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9.0441408499312899E-17"/>
                  <c:y val="-0.18857650085030489"/>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0.14145827051712004"/>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rgbClr val="000000"/>
                    </a:solidFill>
                    <a:latin typeface="Arial"/>
                    <a:ea typeface="Arial"/>
                    <a:cs typeface="Arial"/>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multiLvlStrRef>
              <c:f>tabel!$D$100:$O$102</c:f>
              <c:multiLvlStrCache>
                <c:ptCount val="12"/>
                <c:lvl>
                  <c:pt idx="0">
                    <c:v>2015</c:v>
                  </c:pt>
                  <c:pt idx="1">
                    <c:v>2018</c:v>
                  </c:pt>
                  <c:pt idx="2">
                    <c:v>2015</c:v>
                  </c:pt>
                  <c:pt idx="3">
                    <c:v>2018</c:v>
                  </c:pt>
                  <c:pt idx="4">
                    <c:v>2015</c:v>
                  </c:pt>
                  <c:pt idx="5">
                    <c:v>2018</c:v>
                  </c:pt>
                  <c:pt idx="6">
                    <c:v>2015</c:v>
                  </c:pt>
                  <c:pt idx="7">
                    <c:v>2018</c:v>
                  </c:pt>
                  <c:pt idx="8">
                    <c:v>2015</c:v>
                  </c:pt>
                  <c:pt idx="9">
                    <c:v>2018</c:v>
                  </c:pt>
                  <c:pt idx="10">
                    <c:v>2015</c:v>
                  </c:pt>
                  <c:pt idx="11">
                    <c:v>2018</c:v>
                  </c:pt>
                </c:lvl>
                <c:lvl>
                  <c:pt idx="0">
                    <c:v>Stor</c:v>
                  </c:pt>
                  <c:pt idx="2">
                    <c:v>Stor</c:v>
                  </c:pt>
                  <c:pt idx="4">
                    <c:v>SUV</c:v>
                  </c:pt>
                  <c:pt idx="6">
                    <c:v>SUV</c:v>
                  </c:pt>
                  <c:pt idx="8">
                    <c:v>MPV</c:v>
                  </c:pt>
                  <c:pt idx="10">
                    <c:v>MPV</c:v>
                  </c:pt>
                </c:lvl>
                <c:lvl>
                  <c:pt idx="0">
                    <c:v>Mercedes-Benz C-klasse</c:v>
                  </c:pt>
                  <c:pt idx="2">
                    <c:v>Volkswagen Passat</c:v>
                  </c:pt>
                  <c:pt idx="4">
                    <c:v>Nissan Qashqai</c:v>
                  </c:pt>
                  <c:pt idx="6">
                    <c:v>Renault Captur</c:v>
                  </c:pt>
                  <c:pt idx="8">
                    <c:v>Volkswagen Touran</c:v>
                  </c:pt>
                  <c:pt idx="10">
                    <c:v>Citroën Grand C4 Picasso</c:v>
                  </c:pt>
                </c:lvl>
              </c:multiLvlStrCache>
            </c:multiLvlStrRef>
          </c:cat>
          <c:val>
            <c:numRef>
              <c:f>tabel!$D$104:$O$104</c:f>
              <c:numCache>
                <c:formatCode>#,##0</c:formatCode>
                <c:ptCount val="12"/>
                <c:pt idx="0">
                  <c:v>255</c:v>
                </c:pt>
                <c:pt idx="1">
                  <c:v>179</c:v>
                </c:pt>
                <c:pt idx="2">
                  <c:v>232</c:v>
                </c:pt>
                <c:pt idx="3">
                  <c:v>161</c:v>
                </c:pt>
                <c:pt idx="4">
                  <c:v>151</c:v>
                </c:pt>
                <c:pt idx="5">
                  <c:v>114</c:v>
                </c:pt>
                <c:pt idx="6">
                  <c:v>86</c:v>
                </c:pt>
                <c:pt idx="7">
                  <c:v>79</c:v>
                </c:pt>
                <c:pt idx="8">
                  <c:v>187</c:v>
                </c:pt>
                <c:pt idx="9">
                  <c:v>152</c:v>
                </c:pt>
                <c:pt idx="10">
                  <c:v>152</c:v>
                </c:pt>
                <c:pt idx="11">
                  <c:v>108</c:v>
                </c:pt>
              </c:numCache>
            </c:numRef>
          </c:val>
        </c:ser>
        <c:dLbls>
          <c:showLegendKey val="0"/>
          <c:showVal val="0"/>
          <c:showCatName val="0"/>
          <c:showSerName val="0"/>
          <c:showPercent val="0"/>
          <c:showBubbleSize val="0"/>
        </c:dLbls>
        <c:gapWidth val="150"/>
        <c:overlap val="100"/>
        <c:axId val="527786560"/>
        <c:axId val="607073720"/>
      </c:barChart>
      <c:barChart>
        <c:barDir val="col"/>
        <c:grouping val="stacked"/>
        <c:varyColors val="0"/>
        <c:ser>
          <c:idx val="2"/>
          <c:order val="1"/>
          <c:tx>
            <c:v>SeriesForSecondaryAxis</c:v>
          </c:tx>
          <c:spPr>
            <a:noFill/>
            <a:ln w="25400">
              <a:noFill/>
            </a:ln>
            <a:effectLst/>
          </c:spPr>
          <c:invertIfNegative val="0"/>
        </c:ser>
        <c:dLbls>
          <c:showLegendKey val="0"/>
          <c:showVal val="0"/>
          <c:showCatName val="0"/>
          <c:showSerName val="0"/>
          <c:showPercent val="0"/>
          <c:showBubbleSize val="0"/>
        </c:dLbls>
        <c:gapWidth val="150"/>
        <c:overlap val="100"/>
        <c:axId val="607072152"/>
        <c:axId val="607074112"/>
      </c:barChart>
      <c:catAx>
        <c:axId val="527786560"/>
        <c:scaling>
          <c:orientation val="minMax"/>
        </c:scaling>
        <c:delete val="0"/>
        <c:axPos val="b"/>
        <c:maj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15000"/>
                      <a:lumOff val="85000"/>
                    </a:sysClr>
                  </a:solidFill>
                  <a:prstDash val="solid"/>
                  <a:round/>
                  <a:headEnd type="none" w="med" len="med"/>
                  <a:tailEnd type="none" w="med" len="med"/>
                </a14:hiddenLine>
              </a:ext>
            </a:extLst>
          </c:spPr>
        </c:majorGridlines>
        <c:min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5000"/>
                      <a:lumOff val="95000"/>
                    </a:sysClr>
                  </a:solidFill>
                  <a:prstDash val="solid"/>
                  <a:round/>
                  <a:headEnd type="none" w="med" len="med"/>
                  <a:tailEnd type="none" w="med" len="med"/>
                </a14:hiddenLine>
              </a:ext>
            </a:extLst>
          </c:spPr>
        </c:minorGridlines>
        <c:numFmt formatCode="General" sourceLinked="1"/>
        <c:majorTickMark val="none"/>
        <c:minorTickMark val="none"/>
        <c:tickLblPos val="nextTo"/>
        <c:spPr>
          <a:noFill/>
          <a:ln w="6350" cap="flat" cmpd="sng" algn="ctr">
            <a:solidFill>
              <a:srgbClr val="000000"/>
            </a:solidFill>
            <a:round/>
          </a:ln>
          <a:effectLst/>
          <a:ex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607073720"/>
        <c:crosses val="autoZero"/>
        <c:auto val="1"/>
        <c:lblAlgn val="ctr"/>
        <c:lblOffset val="100"/>
        <c:noMultiLvlLbl val="0"/>
      </c:catAx>
      <c:valAx>
        <c:axId val="607073720"/>
        <c:scaling>
          <c:orientation val="minMax"/>
        </c:scaling>
        <c:delete val="0"/>
        <c:axPos val="l"/>
        <c:maj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15000"/>
                      <a:lumOff val="85000"/>
                    </a:sysClr>
                  </a:solidFill>
                  <a:prstDash val="solid"/>
                  <a:round/>
                  <a:headEnd type="none" w="med" len="med"/>
                  <a:tailEnd type="none" w="med" len="med"/>
                </a14:hiddenLine>
              </a:ext>
            </a:extLst>
          </c:spPr>
        </c:majorGridlines>
        <c:min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5000"/>
                      <a:lumOff val="95000"/>
                    </a:sysClr>
                  </a:solidFill>
                  <a:prstDash val="solid"/>
                  <a:round/>
                  <a:headEnd type="none" w="med" len="med"/>
                  <a:tailEnd type="none" w="med" len="med"/>
                </a14:hiddenLine>
              </a:ext>
            </a:extLst>
          </c:spPr>
        </c:minorGridlines>
        <c:numFmt formatCode="#,##0" sourceLinked="0"/>
        <c:majorTickMark val="out"/>
        <c:minorTickMark val="none"/>
        <c:tickLblPos val="nextTo"/>
        <c:spPr>
          <a:noFill/>
          <a:ln w="6350">
            <a:solidFill>
              <a:srgbClr val="000000"/>
            </a:solidFill>
          </a:ln>
          <a:effectLst/>
          <a:ex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527786560"/>
        <c:crosses val="autoZero"/>
        <c:crossBetween val="between"/>
      </c:valAx>
      <c:valAx>
        <c:axId val="607074112"/>
        <c:scaling>
          <c:orientation val="minMax"/>
          <c:max val="300"/>
          <c:min val="0"/>
        </c:scaling>
        <c:delete val="0"/>
        <c:axPos val="r"/>
        <c:numFmt formatCode="#,##0" sourceLinked="0"/>
        <c:majorTickMark val="out"/>
        <c:minorTickMark val="none"/>
        <c:tickLblPos val="nextTo"/>
        <c:spPr>
          <a:noFill/>
          <a:ln w="6350" cmpd="sng">
            <a:solidFill>
              <a:srgbClr val="000000"/>
            </a:solidFill>
            <a:prstDash val="solid"/>
          </a:ln>
          <a:effec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607072152"/>
        <c:crosses val="max"/>
        <c:crossBetween val="between"/>
        <c:majorUnit val="50"/>
      </c:valAx>
      <c:catAx>
        <c:axId val="607072152"/>
        <c:scaling>
          <c:orientation val="minMax"/>
        </c:scaling>
        <c:delete val="1"/>
        <c:axPos val="b"/>
        <c:majorTickMark val="out"/>
        <c:minorTickMark val="none"/>
        <c:tickLblPos val="nextTo"/>
        <c:crossAx val="607074112"/>
        <c:crosses val="autoZero"/>
        <c:auto val="1"/>
        <c:lblAlgn val="ctr"/>
        <c:lblOffset val="100"/>
        <c:noMultiLvlLbl val="0"/>
      </c:catAx>
      <c:spPr>
        <a:noFill/>
        <a:ln>
          <a:noFill/>
        </a:ln>
        <a:effectLs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b="0" i="0" strike="noStrike" baseline="0">
          <a:solidFill>
            <a:srgbClr val="000000"/>
          </a:solidFill>
          <a:latin typeface="Arial"/>
          <a:ea typeface="Arial"/>
          <a:cs typeface="Arial"/>
        </a:defRPr>
      </a:pPr>
      <a:endParaRPr lang="da-DK"/>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789158039737005E-2"/>
          <c:y val="0.13572911841902116"/>
          <c:w val="0.81475502727934412"/>
          <c:h val="0.60343716226648136"/>
        </c:manualLayout>
      </c:layout>
      <c:barChart>
        <c:barDir val="col"/>
        <c:grouping val="clustered"/>
        <c:varyColors val="0"/>
        <c:ser>
          <c:idx val="0"/>
          <c:order val="0"/>
          <c:tx>
            <c:strRef>
              <c:f>'2017-18'!$P$32</c:f>
              <c:strCache>
                <c:ptCount val="1"/>
                <c:pt idx="0">
                  <c:v>Dec.2014-feb.2015</c:v>
                </c:pt>
              </c:strCache>
            </c:strRef>
          </c:tx>
          <c:spPr>
            <a:solidFill>
              <a:srgbClr val="14143C"/>
            </a:solidFill>
            <a:ln>
              <a:noFill/>
            </a:ln>
            <a:effectLst/>
            <a:extLst/>
          </c:spPr>
          <c:invertIfNegative val="0"/>
          <c:cat>
            <c:strRef>
              <c:f>'2017-18'!$O$33:$O$38</c:f>
              <c:strCache>
                <c:ptCount val="6"/>
                <c:pt idx="0">
                  <c:v>Mikro</c:v>
                </c:pt>
                <c:pt idx="1">
                  <c:v>Lille</c:v>
                </c:pt>
                <c:pt idx="2">
                  <c:v>Mellem</c:v>
                </c:pt>
                <c:pt idx="3">
                  <c:v>Stor</c:v>
                </c:pt>
                <c:pt idx="4">
                  <c:v>SUV</c:v>
                </c:pt>
                <c:pt idx="5">
                  <c:v>MPV</c:v>
                </c:pt>
              </c:strCache>
            </c:strRef>
          </c:cat>
          <c:val>
            <c:numRef>
              <c:f>'2017-18'!$P$33:$P$38</c:f>
              <c:numCache>
                <c:formatCode>General</c:formatCode>
                <c:ptCount val="6"/>
                <c:pt idx="0">
                  <c:v>25.81460861078455</c:v>
                </c:pt>
                <c:pt idx="1">
                  <c:v>27.105560854424059</c:v>
                </c:pt>
                <c:pt idx="2">
                  <c:v>20.397932701905376</c:v>
                </c:pt>
                <c:pt idx="3">
                  <c:v>11.680677860834461</c:v>
                </c:pt>
                <c:pt idx="4">
                  <c:v>8.4266796797018824</c:v>
                </c:pt>
                <c:pt idx="5">
                  <c:v>5.5187099350087614</c:v>
                </c:pt>
              </c:numCache>
            </c:numRef>
          </c:val>
        </c:ser>
        <c:ser>
          <c:idx val="1"/>
          <c:order val="1"/>
          <c:tx>
            <c:strRef>
              <c:f>'2017-18'!$Q$32</c:f>
              <c:strCache>
                <c:ptCount val="1"/>
                <c:pt idx="0">
                  <c:v>Dec.2017-feb.2018</c:v>
                </c:pt>
              </c:strCache>
            </c:strRef>
          </c:tx>
          <c:spPr>
            <a:solidFill>
              <a:srgbClr val="72728A"/>
            </a:solidFill>
            <a:ln>
              <a:noFill/>
            </a:ln>
            <a:effectLst/>
            <a:extLst/>
          </c:spPr>
          <c:invertIfNegative val="0"/>
          <c:cat>
            <c:strRef>
              <c:f>'2017-18'!$O$33:$O$38</c:f>
              <c:strCache>
                <c:ptCount val="6"/>
                <c:pt idx="0">
                  <c:v>Mikro</c:v>
                </c:pt>
                <c:pt idx="1">
                  <c:v>Lille</c:v>
                </c:pt>
                <c:pt idx="2">
                  <c:v>Mellem</c:v>
                </c:pt>
                <c:pt idx="3">
                  <c:v>Stor</c:v>
                </c:pt>
                <c:pt idx="4">
                  <c:v>SUV</c:v>
                </c:pt>
                <c:pt idx="5">
                  <c:v>MPV</c:v>
                </c:pt>
              </c:strCache>
            </c:strRef>
          </c:cat>
          <c:val>
            <c:numRef>
              <c:f>'2017-18'!$Q$33:$Q$38</c:f>
              <c:numCache>
                <c:formatCode>General</c:formatCode>
                <c:ptCount val="6"/>
                <c:pt idx="0">
                  <c:v>10.460554450290985</c:v>
                </c:pt>
                <c:pt idx="1">
                  <c:v>25.976609709387727</c:v>
                </c:pt>
                <c:pt idx="2">
                  <c:v>16.806425822285853</c:v>
                </c:pt>
                <c:pt idx="3">
                  <c:v>13.550750237063756</c:v>
                </c:pt>
                <c:pt idx="4">
                  <c:v>25.046947920346579</c:v>
                </c:pt>
                <c:pt idx="5">
                  <c:v>6.4983359053976164</c:v>
                </c:pt>
              </c:numCache>
            </c:numRef>
          </c:val>
        </c:ser>
        <c:dLbls>
          <c:showLegendKey val="0"/>
          <c:showVal val="0"/>
          <c:showCatName val="0"/>
          <c:showSerName val="0"/>
          <c:showPercent val="0"/>
          <c:showBubbleSize val="0"/>
        </c:dLbls>
        <c:gapWidth val="219"/>
        <c:overlap val="-27"/>
        <c:axId val="607075288"/>
        <c:axId val="607072544"/>
      </c:barChart>
      <c:barChart>
        <c:barDir val="col"/>
        <c:grouping val="clustered"/>
        <c:varyColors val="0"/>
        <c:ser>
          <c:idx val="2"/>
          <c:order val="2"/>
          <c:tx>
            <c:v>SeriesForSecondaryAxis</c:v>
          </c:tx>
          <c:spPr>
            <a:noFill/>
            <a:ln w="25400">
              <a:noFill/>
            </a:ln>
            <a:effectLst/>
          </c:spPr>
          <c:invertIfNegative val="0"/>
        </c:ser>
        <c:dLbls>
          <c:showLegendKey val="0"/>
          <c:showVal val="0"/>
          <c:showCatName val="0"/>
          <c:showSerName val="0"/>
          <c:showPercent val="0"/>
          <c:showBubbleSize val="0"/>
        </c:dLbls>
        <c:gapWidth val="219"/>
        <c:overlap val="-27"/>
        <c:axId val="607073328"/>
        <c:axId val="607072936"/>
      </c:barChart>
      <c:catAx>
        <c:axId val="607075288"/>
        <c:scaling>
          <c:orientation val="minMax"/>
        </c:scaling>
        <c:delete val="0"/>
        <c:axPos val="b"/>
        <c:maj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15000"/>
                      <a:lumOff val="85000"/>
                    </a:sysClr>
                  </a:solidFill>
                  <a:prstDash val="solid"/>
                  <a:round/>
                  <a:headEnd type="none" w="med" len="med"/>
                  <a:tailEnd type="none" w="med" len="med"/>
                </a14:hiddenLine>
              </a:ext>
            </a:extLst>
          </c:spPr>
        </c:majorGridlines>
        <c:min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5000"/>
                      <a:lumOff val="95000"/>
                    </a:sysClr>
                  </a:solidFill>
                  <a:prstDash val="solid"/>
                  <a:round/>
                  <a:headEnd type="none" w="med" len="med"/>
                  <a:tailEnd type="none" w="med" len="med"/>
                </a14:hiddenLine>
              </a:ext>
            </a:extLst>
          </c:spPr>
        </c:minorGridlines>
        <c:numFmt formatCode="General" sourceLinked="1"/>
        <c:majorTickMark val="none"/>
        <c:minorTickMark val="none"/>
        <c:tickLblPos val="nextTo"/>
        <c:spPr>
          <a:noFill/>
          <a:ln w="6350" cap="flat" cmpd="sng" algn="ctr">
            <a:solidFill>
              <a:srgbClr val="000000"/>
            </a:solidFill>
            <a:round/>
          </a:ln>
          <a:effectLst/>
          <a:ex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607072544"/>
        <c:crosses val="autoZero"/>
        <c:auto val="1"/>
        <c:lblAlgn val="ctr"/>
        <c:lblOffset val="100"/>
        <c:noMultiLvlLbl val="0"/>
      </c:catAx>
      <c:valAx>
        <c:axId val="607072544"/>
        <c:scaling>
          <c:orientation val="minMax"/>
          <c:max val="30"/>
        </c:scaling>
        <c:delete val="0"/>
        <c:axPos val="l"/>
        <c:maj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15000"/>
                      <a:lumOff val="85000"/>
                    </a:sysClr>
                  </a:solidFill>
                  <a:prstDash val="solid"/>
                  <a:round/>
                  <a:headEnd type="none" w="med" len="med"/>
                  <a:tailEnd type="none" w="med" len="med"/>
                </a14:hiddenLine>
              </a:ext>
            </a:extLst>
          </c:spPr>
        </c:majorGridlines>
        <c:minorGridlines>
          <c:spPr>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sysClr val="windowText" lastClr="000000">
                      <a:lumMod val="5000"/>
                      <a:lumOff val="95000"/>
                    </a:sysClr>
                  </a:solidFill>
                  <a:prstDash val="solid"/>
                  <a:round/>
                  <a:headEnd type="none" w="med" len="med"/>
                  <a:tailEnd type="none" w="med" len="med"/>
                </a14:hiddenLine>
              </a:ext>
            </a:extLst>
          </c:spPr>
        </c:minorGridlines>
        <c:numFmt formatCode="General" sourceLinked="1"/>
        <c:majorTickMark val="out"/>
        <c:minorTickMark val="none"/>
        <c:tickLblPos val="nextTo"/>
        <c:spPr>
          <a:noFill/>
          <a:ln w="6350">
            <a:solidFill>
              <a:srgbClr val="000000"/>
            </a:solidFill>
          </a:ln>
          <a:effectLst/>
          <a:ex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607075288"/>
        <c:crosses val="autoZero"/>
        <c:crossBetween val="between"/>
      </c:valAx>
      <c:valAx>
        <c:axId val="607072936"/>
        <c:scaling>
          <c:orientation val="minMax"/>
          <c:max val="30"/>
          <c:min val="0"/>
        </c:scaling>
        <c:delete val="0"/>
        <c:axPos val="r"/>
        <c:majorTickMark val="out"/>
        <c:minorTickMark val="none"/>
        <c:tickLblPos val="nextTo"/>
        <c:spPr>
          <a:noFill/>
          <a:ln w="6350" cmpd="sng">
            <a:solidFill>
              <a:srgbClr val="000000"/>
            </a:solidFill>
            <a:prstDash val="solid"/>
          </a:ln>
          <a:effectLst/>
        </c:spPr>
        <c:txPr>
          <a:bodyPr rot="0" spcFirstLastPara="1" vertOverflow="ellipsis" wrap="square" anchor="ctr" anchorCtr="1"/>
          <a:lstStyle/>
          <a:p>
            <a:pPr>
              <a:defRPr sz="700" b="0" i="0" u="none" strike="noStrike" kern="1200" baseline="0">
                <a:solidFill>
                  <a:srgbClr val="000000"/>
                </a:solidFill>
                <a:latin typeface="Arial"/>
                <a:ea typeface="Arial"/>
                <a:cs typeface="Arial"/>
              </a:defRPr>
            </a:pPr>
            <a:endParaRPr lang="da-DK"/>
          </a:p>
        </c:txPr>
        <c:crossAx val="607073328"/>
        <c:crosses val="max"/>
        <c:crossBetween val="between"/>
        <c:majorUnit val="5"/>
        <c:minorUnit val="1"/>
      </c:valAx>
      <c:catAx>
        <c:axId val="607073328"/>
        <c:scaling>
          <c:orientation val="minMax"/>
        </c:scaling>
        <c:delete val="1"/>
        <c:axPos val="b"/>
        <c:majorTickMark val="out"/>
        <c:minorTickMark val="none"/>
        <c:tickLblPos val="nextTo"/>
        <c:crossAx val="607072936"/>
        <c:crosses val="autoZero"/>
        <c:auto val="1"/>
        <c:lblAlgn val="ctr"/>
        <c:lblOffset val="100"/>
        <c:noMultiLvlLbl val="0"/>
      </c:catAx>
      <c:spPr>
        <a:noFill/>
        <a:ln>
          <a:noFill/>
        </a:ln>
        <a:effectLst/>
        <a:extLst/>
      </c:spPr>
    </c:plotArea>
    <c:legend>
      <c:legendPos val="b"/>
      <c:legendEntry>
        <c:idx val="2"/>
        <c:delete val="1"/>
      </c:legendEntry>
      <c:layout>
        <c:manualLayout>
          <c:xMode val="edge"/>
          <c:yMode val="edge"/>
          <c:x val="0.28820410885121439"/>
          <c:y val="0.82806932180226522"/>
          <c:w val="0.53057503398394423"/>
          <c:h val="0.14478762806933398"/>
        </c:manualLayout>
      </c:layout>
      <c:overlay val="1"/>
      <c:spPr>
        <a:noFill/>
        <a:ln>
          <a:noFill/>
        </a:ln>
        <a:effectLst/>
        <a:extLst/>
      </c:spPr>
      <c:txPr>
        <a:bodyPr rot="0" spcFirstLastPara="1" vertOverflow="ellipsis" vert="horz" wrap="square" anchor="ctr" anchorCtr="1"/>
        <a:lstStyle/>
        <a:p>
          <a:pPr>
            <a:defRPr sz="700" b="0" i="0" u="none" strike="noStrike" kern="1200" baseline="0">
              <a:solidFill>
                <a:srgbClr val="000000"/>
              </a:solidFill>
              <a:latin typeface="Arial"/>
              <a:ea typeface="Arial"/>
              <a:cs typeface="Arial"/>
            </a:defRPr>
          </a:pPr>
          <a:endParaRPr lang="da-DK"/>
        </a:p>
      </c:txPr>
    </c:legend>
    <c:plotVisOnly val="1"/>
    <c:dispBlanksAs val="gap"/>
    <c:showDLblsOverMax val="0"/>
  </c:chart>
  <c:spPr>
    <a:noFill/>
    <a:ln w="9525" cap="flat" cmpd="sng" algn="ctr">
      <a:noFill/>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800" b="0" i="0" strike="noStrike" baseline="0">
          <a:solidFill>
            <a:srgbClr val="000000"/>
          </a:solidFill>
          <a:latin typeface="Arial"/>
          <a:ea typeface="Arial"/>
          <a:cs typeface="Arial"/>
        </a:defRPr>
      </a:pPr>
      <a:endParaRPr lang="da-DK"/>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0.06233</cdr:x>
      <cdr:y>0.00896</cdr:y>
    </cdr:from>
    <cdr:to>
      <cdr:x>0.14856</cdr:x>
      <cdr:y>0.05554</cdr:y>
    </cdr:to>
    <cdr:sp macro="" textlink="">
      <cdr:nvSpPr>
        <cdr:cNvPr id="3" name="AxisTitleValuePrimary"/>
        <cdr:cNvSpPr txBox="1"/>
      </cdr:nvSpPr>
      <cdr:spPr>
        <a:xfrm xmlns:a="http://schemas.openxmlformats.org/drawingml/2006/main">
          <a:off x="297470" y="21504"/>
          <a:ext cx="411547" cy="111836"/>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xtLst xmlns:a="http://schemas.openxmlformats.org/drawingml/2006/main">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dr:spPr>
      <cdr:txBody>
        <a:bodyPr xmlns:a="http://schemas.openxmlformats.org/drawingml/2006/main" vertOverflow="clip" vert="horz" wrap="none" lIns="0" tIns="0" rIns="0" bIns="0" rtlCol="0">
          <a:noAutofit/>
        </a:bodyPr>
        <a:lstStyle xmlns:a="http://schemas.openxmlformats.org/drawingml/2006/main"/>
        <a:p xmlns:a="http://schemas.openxmlformats.org/drawingml/2006/main">
          <a:r>
            <a:rPr lang="da-DK" sz="700" b="0" i="0" strike="noStrike" baseline="0">
              <a:solidFill>
                <a:srgbClr val="000000"/>
              </a:solidFill>
              <a:latin typeface="Arial" panose="020B0604020202020204" pitchFamily="34" charset="0"/>
            </a:rPr>
            <a:t>Tusinde kr.</a:t>
          </a:r>
        </a:p>
      </cdr:txBody>
    </cdr:sp>
  </cdr:relSizeAnchor>
  <cdr:relSizeAnchor xmlns:cdr="http://schemas.openxmlformats.org/drawingml/2006/chartDrawing">
    <cdr:from>
      <cdr:x>0.88556</cdr:x>
      <cdr:y>0.01013</cdr:y>
    </cdr:from>
    <cdr:to>
      <cdr:x>0.97861</cdr:x>
      <cdr:y>0.05313</cdr:y>
    </cdr:to>
    <cdr:sp macro="" textlink="">
      <cdr:nvSpPr>
        <cdr:cNvPr id="4" name="AxisTitleValueSecondary"/>
        <cdr:cNvSpPr txBox="1"/>
      </cdr:nvSpPr>
      <cdr:spPr>
        <a:xfrm xmlns:a="http://schemas.openxmlformats.org/drawingml/2006/main">
          <a:off x="4226477" y="24321"/>
          <a:ext cx="444096" cy="103233"/>
        </a:xfrm>
        <a:prstGeom xmlns:a="http://schemas.openxmlformats.org/drawingml/2006/main" prst="rect">
          <a:avLst/>
        </a:prstGeom>
        <a:solidFill xmlns:a="http://schemas.openxmlformats.org/drawingml/2006/main">
          <a:srgbClr val="FFFFFF">
            <a:alpha val="0"/>
          </a:srgbClr>
        </a:solidFill>
        <a:ln xmlns:a="http://schemas.openxmlformats.org/drawingml/2006/main" w="9525" cap="flat" cmpd="sng" algn="ctr">
          <a:noFill/>
          <a:prstDash val="solid"/>
          <a:round/>
          <a:headEnd type="none" w="med" len="med"/>
          <a:tailEnd type="none" w="med" len="med"/>
        </a:ln>
        <a:extLst xmlns:a="http://schemas.openxmlformats.org/drawingml/2006/main">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dr:spPr>
      <cdr:txBody>
        <a:bodyPr xmlns:a="http://schemas.openxmlformats.org/drawingml/2006/main" vertOverflow="clip" vert="horz" wrap="none" lIns="0" tIns="0" rIns="0" bIns="0" rtlCol="0">
          <a:spAutoFit/>
        </a:bodyPr>
        <a:lstStyle xmlns:a="http://schemas.openxmlformats.org/drawingml/2006/main"/>
        <a:p xmlns:a="http://schemas.openxmlformats.org/drawingml/2006/main">
          <a:r>
            <a:rPr lang="da-DK" sz="700" b="0" i="0" strike="noStrike" baseline="0">
              <a:solidFill>
                <a:srgbClr val="000000"/>
              </a:solidFill>
              <a:latin typeface="Arial" panose="020B0604020202020204" pitchFamily="34" charset="0"/>
              <a:cs typeface="Arial" panose="020B0604020202020204" pitchFamily="34" charset="0"/>
            </a:rPr>
            <a:t>Tusinde kr.</a:t>
          </a:r>
        </a:p>
      </cdr:txBody>
    </cdr:sp>
  </cdr:relSizeAnchor>
</c:userShapes>
</file>

<file path=word/drawings/drawing2.xml><?xml version="1.0" encoding="utf-8"?>
<c:userShapes xmlns:c="http://schemas.openxmlformats.org/drawingml/2006/chart">
  <cdr:relSizeAnchor xmlns:cdr="http://schemas.openxmlformats.org/drawingml/2006/chartDrawing">
    <cdr:from>
      <cdr:x>0.05375</cdr:x>
      <cdr:y>0.05871</cdr:y>
    </cdr:from>
    <cdr:to>
      <cdr:x>0.09342</cdr:x>
      <cdr:y>0.10793</cdr:y>
    </cdr:to>
    <cdr:sp macro="" textlink="">
      <cdr:nvSpPr>
        <cdr:cNvPr id="3" name="AxisTitleValuePrimary"/>
        <cdr:cNvSpPr txBox="1"/>
      </cdr:nvSpPr>
      <cdr:spPr>
        <a:xfrm xmlns:a="http://schemas.openxmlformats.org/drawingml/2006/main">
          <a:off x="223389" y="152097"/>
          <a:ext cx="164872" cy="127519"/>
        </a:xfrm>
        <a:prstGeom xmlns:a="http://schemas.openxmlformats.org/drawingml/2006/main" prst="rect">
          <a:avLst/>
        </a:prstGeom>
        <a:noFill xmlns:a="http://schemas.openxmlformats.org/drawingml/2006/main"/>
        <a:ln xmlns:a="http://schemas.openxmlformats.org/drawingml/2006/main" w="9525" cap="flat" cmpd="sng" algn="ctr">
          <a:noFill/>
          <a:prstDash val="solid"/>
          <a:round/>
          <a:headEnd type="none" w="med" len="med"/>
          <a:tailEnd type="none" w="med" len="med"/>
        </a:ln>
        <a:extLst xmlns:a="http://schemas.openxmlformats.org/drawingml/2006/main">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dr:spPr>
      <cdr:txBody>
        <a:bodyPr xmlns:a="http://schemas.openxmlformats.org/drawingml/2006/main" vertOverflow="clip" vert="horz" wrap="none" lIns="0" tIns="0" rIns="0" bIns="0" rtlCol="0">
          <a:spAutoFit/>
        </a:bodyPr>
        <a:lstStyle xmlns:a="http://schemas.openxmlformats.org/drawingml/2006/main"/>
        <a:p xmlns:a="http://schemas.openxmlformats.org/drawingml/2006/main">
          <a:r>
            <a:rPr lang="da-DK" sz="700" b="0" i="0" strike="noStrike" baseline="0">
              <a:solidFill>
                <a:srgbClr val="000000"/>
              </a:solidFill>
              <a:latin typeface="Arial" panose="020B0604020202020204" pitchFamily="34" charset="0"/>
            </a:rPr>
            <a:t>Pct.</a:t>
          </a:r>
        </a:p>
      </cdr:txBody>
    </cdr:sp>
  </cdr:relSizeAnchor>
  <cdr:relSizeAnchor xmlns:cdr="http://schemas.openxmlformats.org/drawingml/2006/chartDrawing">
    <cdr:from>
      <cdr:x>0.91706</cdr:x>
      <cdr:y>0.06534</cdr:y>
    </cdr:from>
    <cdr:to>
      <cdr:x>0.95673</cdr:x>
      <cdr:y>0.11456</cdr:y>
    </cdr:to>
    <cdr:sp macro="" textlink="">
      <cdr:nvSpPr>
        <cdr:cNvPr id="4" name="AxisTitleValueSecondary"/>
        <cdr:cNvSpPr txBox="1"/>
      </cdr:nvSpPr>
      <cdr:spPr>
        <a:xfrm xmlns:a="http://schemas.openxmlformats.org/drawingml/2006/main">
          <a:off x="3811370" y="169292"/>
          <a:ext cx="164872" cy="127520"/>
        </a:xfrm>
        <a:prstGeom xmlns:a="http://schemas.openxmlformats.org/drawingml/2006/main" prst="rect">
          <a:avLst/>
        </a:prstGeom>
        <a:solidFill xmlns:a="http://schemas.openxmlformats.org/drawingml/2006/main">
          <a:srgbClr val="FFFFFF">
            <a:alpha val="0"/>
          </a:srgbClr>
        </a:solidFill>
        <a:ln xmlns:a="http://schemas.openxmlformats.org/drawingml/2006/main" w="9525" cap="flat" cmpd="sng" algn="ctr">
          <a:noFill/>
          <a:prstDash val="solid"/>
          <a:round/>
          <a:headEnd type="none" w="med" len="med"/>
          <a:tailEnd type="none" w="med" len="med"/>
        </a:ln>
        <a:extLst xmlns:a="http://schemas.openxmlformats.org/drawingml/2006/main">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dr:spPr>
      <cdr:txBody>
        <a:bodyPr xmlns:a="http://schemas.openxmlformats.org/drawingml/2006/main" vertOverflow="clip" vert="horz" wrap="none" lIns="0" tIns="0" rIns="0" bIns="0" rtlCol="0">
          <a:spAutoFit/>
        </a:bodyPr>
        <a:lstStyle xmlns:a="http://schemas.openxmlformats.org/drawingml/2006/main"/>
        <a:p xmlns:a="http://schemas.openxmlformats.org/drawingml/2006/main">
          <a:r>
            <a:rPr lang="da-DK" sz="700" b="0" i="0" strike="noStrike" baseline="0">
              <a:solidFill>
                <a:srgbClr val="000000"/>
              </a:solidFill>
              <a:latin typeface="Arial" panose="020B0604020202020204" pitchFamily="34" charset="0"/>
            </a:rPr>
            <a:t>Pct.</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B00DD964324FDBBFEF2A47E6E15E4A"/>
        <w:category>
          <w:name w:val="Generelt"/>
          <w:gallery w:val="placeholder"/>
        </w:category>
        <w:types>
          <w:type w:val="bbPlcHdr"/>
        </w:types>
        <w:behaviors>
          <w:behavior w:val="content"/>
        </w:behaviors>
        <w:guid w:val="{4CFC8F64-200D-4D33-B3D4-0742E037271C}"/>
      </w:docPartPr>
      <w:docPartBody>
        <w:p w:rsidR="004D5034" w:rsidRDefault="00D339D7">
          <w:pPr>
            <w:pStyle w:val="12B00DD964324FDBBFEF2A47E6E15E4A"/>
          </w:pPr>
          <w:r w:rsidRPr="008C7CA6">
            <w:rPr>
              <w:rStyle w:val="Plad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epublic">
    <w:panose1 w:val="02000506000000020004"/>
    <w:charset w:val="00"/>
    <w:family w:val="auto"/>
    <w:pitch w:val="variable"/>
    <w:sig w:usb0="800000AF" w:usb1="4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Republic DemiBold">
    <w:panose1 w:val="02000706000000020004"/>
    <w:charset w:val="00"/>
    <w:family w:val="auto"/>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Republic Light">
    <w:panose1 w:val="020003060000000200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Republic UltraLight">
    <w:altName w:val="Franklin Gothic Medium Cond"/>
    <w:panose1 w:val="0200020600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D7"/>
    <w:rsid w:val="002C0C78"/>
    <w:rsid w:val="002E4AE3"/>
    <w:rsid w:val="00493E5F"/>
    <w:rsid w:val="004D5034"/>
    <w:rsid w:val="00A407E2"/>
    <w:rsid w:val="00D339D7"/>
    <w:rsid w:val="00DA1D1F"/>
    <w:rsid w:val="00E67E59"/>
    <w:rsid w:val="00E96E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auto"/>
    </w:rPr>
  </w:style>
  <w:style w:type="paragraph" w:customStyle="1" w:styleId="12B00DD964324FDBBFEF2A47E6E15E4A">
    <w:name w:val="12B00DD964324FDBBFEF2A47E6E15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katteministeriet">
      <a:dk1>
        <a:sysClr val="windowText" lastClr="000000"/>
      </a:dk1>
      <a:lt1>
        <a:sysClr val="window" lastClr="FFFFFF"/>
      </a:lt1>
      <a:dk2>
        <a:srgbClr val="7D7D7D"/>
      </a:dk2>
      <a:lt2>
        <a:srgbClr val="FAF9F9"/>
      </a:lt2>
      <a:accent1>
        <a:srgbClr val="14143C"/>
      </a:accent1>
      <a:accent2>
        <a:srgbClr val="72728A"/>
      </a:accent2>
      <a:accent3>
        <a:srgbClr val="D1C5C3"/>
      </a:accent3>
      <a:accent4>
        <a:srgbClr val="E3DCDB"/>
      </a:accent4>
      <a:accent5>
        <a:srgbClr val="B1DACA"/>
      </a:accent5>
      <a:accent6>
        <a:srgbClr val="D0E9D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3D4C-CAE3-456A-A345-CF0BC70F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b6dd7a9359eb4af0aee117f69b1e6351</Template>
  <TotalTime>1</TotalTime>
  <Pages>3</Pages>
  <Words>635</Words>
  <Characters>3878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Aktuelle skattetal</vt:lpstr>
      <vt:lpstr>Aktuelle skattetal</vt:lpstr>
    </vt:vector>
  </TitlesOfParts>
  <Company>SKAT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Aktuelle skattetal</dc:title>
  <dc:creator>Jesper Birch</dc:creator>
  <cp:lastModifiedBy>Finn Serup Jensen</cp:lastModifiedBy>
  <cp:revision>2</cp:revision>
  <dcterms:created xsi:type="dcterms:W3CDTF">2018-05-24T07:47:00Z</dcterms:created>
  <dcterms:modified xsi:type="dcterms:W3CDTF">2018-05-24T07:47:00Z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by">
    <vt:lpwstr>www.skabelondesign.dk</vt:lpwstr>
  </property>
  <property fmtid="{D5CDD505-2E9C-101B-9397-08002B2CF9AE}" pid="3" name="command">
    <vt:lpwstr/>
  </property>
  <property fmtid="{D5CDD505-2E9C-101B-9397-08002B2CF9AE}" pid="4" name="title">
    <vt:lpwstr/>
  </property>
  <property fmtid="{D5CDD505-2E9C-101B-9397-08002B2CF9AE}" pid="5" name="path">
    <vt:lpwstr>C:\Users\w20714\AppData\Local\Temp\2\Scanjour\Captia\SJ20161109103200702.DOCX</vt:lpwstr>
  </property>
</Properties>
</file>